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B22E9E">
      <w:pPr>
        <w:spacing w:line="360" w:lineRule="auto"/>
        <w:ind w:firstLine="562" w:firstLineChars="200"/>
        <w:jc w:val="center"/>
        <w:rPr>
          <w:b/>
          <w:color w:val="000000"/>
          <w:sz w:val="28"/>
          <w:szCs w:val="28"/>
        </w:rPr>
      </w:pPr>
      <w:bookmarkStart w:id="0" w:name="_Hlk50995330"/>
    </w:p>
    <w:p w14:paraId="3D8F3535">
      <w:pPr>
        <w:widowControl/>
        <w:spacing w:line="240" w:lineRule="atLeast"/>
        <w:jc w:val="center"/>
        <w:rPr>
          <w:rFonts w:ascii="方正小标宋简体" w:eastAsia="方正小标宋简体"/>
          <w:bCs/>
          <w:sz w:val="32"/>
          <w:szCs w:val="28"/>
        </w:rPr>
      </w:pPr>
      <w:bookmarkStart w:id="1" w:name="_Hlk69198104"/>
      <w:r>
        <w:rPr>
          <w:rFonts w:hint="eastAsia" w:ascii="方正小标宋简体" w:eastAsia="方正小标宋简体"/>
          <w:bCs/>
          <w:sz w:val="32"/>
          <w:szCs w:val="28"/>
        </w:rPr>
        <w:t>成都上锦南府医院/四川大学华西医院上锦医院</w:t>
      </w:r>
    </w:p>
    <w:p w14:paraId="215FE326">
      <w:pPr>
        <w:widowControl/>
        <w:spacing w:line="240" w:lineRule="atLeast"/>
        <w:jc w:val="center"/>
        <w:rPr>
          <w:color w:val="000000"/>
          <w:sz w:val="28"/>
          <w:szCs w:val="28"/>
        </w:rPr>
      </w:pPr>
      <w:r>
        <w:rPr>
          <w:rFonts w:hint="eastAsia" w:ascii="方正小标宋简体" w:eastAsia="方正小标宋简体"/>
          <w:bCs/>
          <w:sz w:val="32"/>
          <w:szCs w:val="28"/>
        </w:rPr>
        <w:t>药物临床试验开展中自查表（药物）</w:t>
      </w:r>
      <w:bookmarkEnd w:id="1"/>
    </w:p>
    <w:tbl>
      <w:tblPr>
        <w:tblStyle w:val="7"/>
        <w:tblW w:w="9204" w:type="dxa"/>
        <w:jc w:val="cente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fixed"/>
        <w:tblCellMar>
          <w:top w:w="0" w:type="dxa"/>
          <w:left w:w="108" w:type="dxa"/>
          <w:bottom w:w="0" w:type="dxa"/>
          <w:right w:w="108" w:type="dxa"/>
        </w:tblCellMar>
      </w:tblPr>
      <w:tblGrid>
        <w:gridCol w:w="2258"/>
        <w:gridCol w:w="2520"/>
        <w:gridCol w:w="901"/>
        <w:gridCol w:w="1445"/>
        <w:gridCol w:w="143"/>
        <w:gridCol w:w="1937"/>
      </w:tblGrid>
      <w:tr w14:paraId="676BD726">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777" w:hRule="atLeast"/>
          <w:jc w:val="center"/>
        </w:trPr>
        <w:tc>
          <w:tcPr>
            <w:tcW w:w="2258" w:type="dxa"/>
            <w:vAlign w:val="center"/>
          </w:tcPr>
          <w:p w14:paraId="1F127197">
            <w:pPr>
              <w:widowControl/>
              <w:spacing w:line="240" w:lineRule="atLeast"/>
              <w:jc w:val="center"/>
              <w:rPr>
                <w:b/>
                <w:bCs/>
                <w:sz w:val="28"/>
              </w:rPr>
            </w:pPr>
            <w:bookmarkStart w:id="2" w:name="_Hlk69198081"/>
            <w:r>
              <w:rPr>
                <w:b/>
                <w:bCs/>
                <w:sz w:val="28"/>
              </w:rPr>
              <w:t>试验</w:t>
            </w:r>
            <w:r>
              <w:rPr>
                <w:rFonts w:hint="eastAsia"/>
                <w:b/>
                <w:bCs/>
                <w:sz w:val="28"/>
              </w:rPr>
              <w:t>名</w:t>
            </w:r>
            <w:r>
              <w:rPr>
                <w:b/>
                <w:bCs/>
                <w:sz w:val="28"/>
              </w:rPr>
              <w:t>称</w:t>
            </w:r>
          </w:p>
        </w:tc>
        <w:tc>
          <w:tcPr>
            <w:tcW w:w="6946" w:type="dxa"/>
            <w:gridSpan w:val="5"/>
            <w:vAlign w:val="center"/>
          </w:tcPr>
          <w:p w14:paraId="5B9BF2FF">
            <w:pPr>
              <w:widowControl/>
              <w:adjustRightInd w:val="0"/>
              <w:snapToGrid w:val="0"/>
              <w:spacing w:line="240" w:lineRule="atLeast"/>
              <w:jc w:val="left"/>
              <w:rPr>
                <w:sz w:val="24"/>
              </w:rPr>
            </w:pPr>
          </w:p>
        </w:tc>
      </w:tr>
      <w:tr w14:paraId="7D9DD0FD">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777" w:hRule="atLeast"/>
          <w:jc w:val="center"/>
        </w:trPr>
        <w:tc>
          <w:tcPr>
            <w:tcW w:w="2258" w:type="dxa"/>
            <w:vAlign w:val="center"/>
          </w:tcPr>
          <w:p w14:paraId="5046E090">
            <w:pPr>
              <w:widowControl/>
              <w:spacing w:line="240" w:lineRule="atLeast"/>
              <w:jc w:val="center"/>
              <w:rPr>
                <w:b/>
                <w:bCs/>
                <w:sz w:val="28"/>
              </w:rPr>
            </w:pPr>
            <w:r>
              <w:rPr>
                <w:rFonts w:hint="eastAsia"/>
                <w:b/>
                <w:bCs/>
                <w:sz w:val="28"/>
              </w:rPr>
              <w:t>合同编号</w:t>
            </w:r>
          </w:p>
        </w:tc>
        <w:tc>
          <w:tcPr>
            <w:tcW w:w="2520" w:type="dxa"/>
            <w:vAlign w:val="center"/>
          </w:tcPr>
          <w:p w14:paraId="7FACCA8B">
            <w:pPr>
              <w:widowControl/>
              <w:adjustRightInd w:val="0"/>
              <w:snapToGrid w:val="0"/>
              <w:spacing w:line="240" w:lineRule="atLeast"/>
              <w:jc w:val="left"/>
              <w:rPr>
                <w:sz w:val="24"/>
              </w:rPr>
            </w:pPr>
          </w:p>
        </w:tc>
        <w:tc>
          <w:tcPr>
            <w:tcW w:w="2489" w:type="dxa"/>
            <w:gridSpan w:val="3"/>
            <w:vAlign w:val="center"/>
          </w:tcPr>
          <w:p w14:paraId="45FC066F">
            <w:pPr>
              <w:widowControl/>
              <w:adjustRightInd w:val="0"/>
              <w:snapToGrid w:val="0"/>
              <w:spacing w:line="240" w:lineRule="atLeast"/>
              <w:jc w:val="center"/>
            </w:pPr>
            <w:r>
              <w:rPr>
                <w:rFonts w:hint="eastAsia"/>
                <w:b/>
                <w:bCs/>
                <w:sz w:val="28"/>
                <w:lang w:val="en-US" w:eastAsia="zh-CN"/>
              </w:rPr>
              <w:t>科室</w:t>
            </w:r>
          </w:p>
        </w:tc>
        <w:tc>
          <w:tcPr>
            <w:tcW w:w="1937" w:type="dxa"/>
            <w:vAlign w:val="center"/>
          </w:tcPr>
          <w:p w14:paraId="539EE3DC">
            <w:pPr>
              <w:widowControl/>
              <w:adjustRightInd w:val="0"/>
              <w:snapToGrid w:val="0"/>
              <w:spacing w:line="240" w:lineRule="atLeast"/>
              <w:jc w:val="left"/>
            </w:pPr>
          </w:p>
        </w:tc>
      </w:tr>
      <w:tr w14:paraId="03090919">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700" w:hRule="atLeast"/>
          <w:jc w:val="center"/>
        </w:trPr>
        <w:tc>
          <w:tcPr>
            <w:tcW w:w="2258" w:type="dxa"/>
            <w:vAlign w:val="center"/>
          </w:tcPr>
          <w:p w14:paraId="20995E5D">
            <w:pPr>
              <w:widowControl/>
              <w:spacing w:line="240" w:lineRule="atLeast"/>
              <w:jc w:val="center"/>
              <w:rPr>
                <w:b/>
                <w:bCs/>
                <w:sz w:val="28"/>
              </w:rPr>
            </w:pPr>
            <w:r>
              <w:rPr>
                <w:rFonts w:hint="eastAsia"/>
                <w:b/>
                <w:bCs/>
                <w:sz w:val="28"/>
                <w:lang w:val="en-US" w:eastAsia="zh-CN"/>
              </w:rPr>
              <w:t>科室质控员签字签日期</w:t>
            </w:r>
          </w:p>
        </w:tc>
        <w:tc>
          <w:tcPr>
            <w:tcW w:w="2520" w:type="dxa"/>
            <w:vAlign w:val="center"/>
          </w:tcPr>
          <w:p w14:paraId="183E5A87">
            <w:pPr>
              <w:widowControl/>
              <w:adjustRightInd w:val="0"/>
              <w:snapToGrid w:val="0"/>
              <w:spacing w:line="240" w:lineRule="atLeast"/>
              <w:jc w:val="left"/>
              <w:rPr>
                <w:sz w:val="24"/>
              </w:rPr>
            </w:pPr>
          </w:p>
        </w:tc>
        <w:tc>
          <w:tcPr>
            <w:tcW w:w="2489" w:type="dxa"/>
            <w:gridSpan w:val="3"/>
            <w:vAlign w:val="center"/>
          </w:tcPr>
          <w:p w14:paraId="0C62D9F7">
            <w:pPr>
              <w:widowControl/>
              <w:adjustRightInd w:val="0"/>
              <w:snapToGrid w:val="0"/>
              <w:spacing w:line="240" w:lineRule="atLeast"/>
              <w:jc w:val="left"/>
              <w:rPr>
                <w:sz w:val="24"/>
              </w:rPr>
            </w:pPr>
            <w:r>
              <w:rPr>
                <w:b/>
                <w:bCs/>
                <w:sz w:val="28"/>
              </w:rPr>
              <w:t>研究者</w:t>
            </w:r>
            <w:r>
              <w:rPr>
                <w:rFonts w:hint="eastAsia"/>
                <w:b/>
                <w:bCs/>
                <w:sz w:val="28"/>
              </w:rPr>
              <w:t>签字签日期</w:t>
            </w:r>
          </w:p>
        </w:tc>
        <w:tc>
          <w:tcPr>
            <w:tcW w:w="1937" w:type="dxa"/>
            <w:vAlign w:val="center"/>
          </w:tcPr>
          <w:p w14:paraId="1B26BF55">
            <w:pPr>
              <w:widowControl/>
              <w:adjustRightInd w:val="0"/>
              <w:snapToGrid w:val="0"/>
              <w:spacing w:line="240" w:lineRule="atLeast"/>
              <w:jc w:val="left"/>
              <w:rPr>
                <w:sz w:val="24"/>
              </w:rPr>
            </w:pPr>
          </w:p>
        </w:tc>
      </w:tr>
      <w:tr w14:paraId="7A5B8C51">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708" w:hRule="atLeast"/>
          <w:jc w:val="center"/>
        </w:trPr>
        <w:tc>
          <w:tcPr>
            <w:tcW w:w="2258" w:type="dxa"/>
            <w:vAlign w:val="center"/>
          </w:tcPr>
          <w:p w14:paraId="70892F38">
            <w:pPr>
              <w:widowControl/>
              <w:spacing w:line="240" w:lineRule="atLeast"/>
              <w:jc w:val="center"/>
              <w:rPr>
                <w:b/>
                <w:bCs/>
                <w:sz w:val="28"/>
              </w:rPr>
            </w:pPr>
            <w:r>
              <w:rPr>
                <w:b/>
                <w:bCs/>
                <w:sz w:val="28"/>
              </w:rPr>
              <w:t>申办者</w:t>
            </w:r>
          </w:p>
        </w:tc>
        <w:tc>
          <w:tcPr>
            <w:tcW w:w="6946" w:type="dxa"/>
            <w:gridSpan w:val="5"/>
            <w:vAlign w:val="center"/>
          </w:tcPr>
          <w:p w14:paraId="0CB5773D">
            <w:pPr>
              <w:widowControl/>
              <w:adjustRightInd w:val="0"/>
              <w:snapToGrid w:val="0"/>
              <w:spacing w:line="240" w:lineRule="atLeast"/>
              <w:jc w:val="left"/>
              <w:rPr>
                <w:rFonts w:eastAsiaTheme="minorEastAsia"/>
                <w:sz w:val="24"/>
              </w:rPr>
            </w:pPr>
          </w:p>
        </w:tc>
      </w:tr>
      <w:tr w14:paraId="7020105E">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702" w:hRule="atLeast"/>
          <w:jc w:val="center"/>
        </w:trPr>
        <w:tc>
          <w:tcPr>
            <w:tcW w:w="2258" w:type="dxa"/>
            <w:vAlign w:val="center"/>
          </w:tcPr>
          <w:p w14:paraId="08CA136A">
            <w:pPr>
              <w:widowControl/>
              <w:spacing w:line="240" w:lineRule="atLeast"/>
              <w:rPr>
                <w:b/>
                <w:bCs/>
                <w:sz w:val="28"/>
              </w:rPr>
            </w:pPr>
            <w:r>
              <w:rPr>
                <w:rFonts w:hint="eastAsia"/>
                <w:b/>
                <w:bCs/>
                <w:sz w:val="28"/>
              </w:rPr>
              <w:t>项目经理联系方式（邮箱及电话）</w:t>
            </w:r>
          </w:p>
        </w:tc>
        <w:tc>
          <w:tcPr>
            <w:tcW w:w="6946" w:type="dxa"/>
            <w:gridSpan w:val="5"/>
            <w:vAlign w:val="center"/>
          </w:tcPr>
          <w:p w14:paraId="5D9707D0">
            <w:pPr>
              <w:widowControl/>
              <w:adjustRightInd w:val="0"/>
              <w:snapToGrid w:val="0"/>
              <w:spacing w:line="240" w:lineRule="atLeast"/>
              <w:jc w:val="left"/>
              <w:rPr>
                <w:sz w:val="24"/>
              </w:rPr>
            </w:pPr>
          </w:p>
        </w:tc>
      </w:tr>
      <w:tr w14:paraId="2E1EC68D">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838" w:hRule="atLeast"/>
          <w:jc w:val="center"/>
        </w:trPr>
        <w:tc>
          <w:tcPr>
            <w:tcW w:w="2258" w:type="dxa"/>
            <w:vAlign w:val="center"/>
          </w:tcPr>
          <w:p w14:paraId="0D15BF19">
            <w:pPr>
              <w:widowControl/>
              <w:spacing w:line="240" w:lineRule="atLeast"/>
              <w:rPr>
                <w:b/>
                <w:bCs/>
                <w:sz w:val="28"/>
              </w:rPr>
            </w:pPr>
            <w:r>
              <w:rPr>
                <w:rFonts w:hint="eastAsia"/>
                <w:b/>
                <w:bCs/>
                <w:sz w:val="28"/>
              </w:rPr>
              <w:t>CRA联系方式（邮箱及电话）</w:t>
            </w:r>
          </w:p>
        </w:tc>
        <w:tc>
          <w:tcPr>
            <w:tcW w:w="3421" w:type="dxa"/>
            <w:gridSpan w:val="2"/>
            <w:vAlign w:val="center"/>
          </w:tcPr>
          <w:p w14:paraId="0A832982">
            <w:pPr>
              <w:widowControl/>
              <w:adjustRightInd w:val="0"/>
              <w:snapToGrid w:val="0"/>
              <w:spacing w:line="240" w:lineRule="atLeast"/>
              <w:jc w:val="left"/>
              <w:rPr>
                <w:sz w:val="24"/>
              </w:rPr>
            </w:pPr>
          </w:p>
        </w:tc>
        <w:tc>
          <w:tcPr>
            <w:tcW w:w="1445" w:type="dxa"/>
            <w:vAlign w:val="center"/>
          </w:tcPr>
          <w:p w14:paraId="10D17674">
            <w:pPr>
              <w:widowControl/>
              <w:adjustRightInd w:val="0"/>
              <w:snapToGrid w:val="0"/>
              <w:spacing w:line="240" w:lineRule="atLeast"/>
              <w:jc w:val="center"/>
              <w:rPr>
                <w:sz w:val="24"/>
              </w:rPr>
            </w:pPr>
            <w:r>
              <w:rPr>
                <w:b/>
                <w:bCs/>
                <w:sz w:val="28"/>
              </w:rPr>
              <w:t>CRA签字签日期</w:t>
            </w:r>
          </w:p>
        </w:tc>
        <w:tc>
          <w:tcPr>
            <w:tcW w:w="2080" w:type="dxa"/>
            <w:gridSpan w:val="2"/>
            <w:vAlign w:val="center"/>
          </w:tcPr>
          <w:p w14:paraId="02405736">
            <w:pPr>
              <w:widowControl/>
              <w:adjustRightInd w:val="0"/>
              <w:snapToGrid w:val="0"/>
              <w:spacing w:line="240" w:lineRule="atLeast"/>
              <w:jc w:val="left"/>
              <w:rPr>
                <w:sz w:val="24"/>
              </w:rPr>
            </w:pPr>
          </w:p>
        </w:tc>
      </w:tr>
      <w:tr w14:paraId="65256E9D">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833" w:hRule="atLeast"/>
          <w:jc w:val="center"/>
        </w:trPr>
        <w:tc>
          <w:tcPr>
            <w:tcW w:w="2258" w:type="dxa"/>
            <w:vAlign w:val="center"/>
          </w:tcPr>
          <w:p w14:paraId="13B6BE85">
            <w:pPr>
              <w:widowControl/>
              <w:spacing w:line="240" w:lineRule="atLeast"/>
              <w:rPr>
                <w:b/>
                <w:bCs/>
                <w:sz w:val="28"/>
              </w:rPr>
            </w:pPr>
            <w:r>
              <w:rPr>
                <w:rFonts w:hint="eastAsia"/>
                <w:b/>
                <w:bCs/>
                <w:sz w:val="28"/>
              </w:rPr>
              <w:t>CRC联系方式（邮箱及电话）</w:t>
            </w:r>
          </w:p>
        </w:tc>
        <w:tc>
          <w:tcPr>
            <w:tcW w:w="3421" w:type="dxa"/>
            <w:gridSpan w:val="2"/>
            <w:vAlign w:val="center"/>
          </w:tcPr>
          <w:p w14:paraId="42C2409F">
            <w:pPr>
              <w:widowControl/>
              <w:adjustRightInd w:val="0"/>
              <w:snapToGrid w:val="0"/>
              <w:spacing w:line="240" w:lineRule="atLeast"/>
              <w:jc w:val="left"/>
              <w:rPr>
                <w:sz w:val="24"/>
              </w:rPr>
            </w:pPr>
          </w:p>
        </w:tc>
        <w:tc>
          <w:tcPr>
            <w:tcW w:w="1445" w:type="dxa"/>
            <w:vAlign w:val="center"/>
          </w:tcPr>
          <w:p w14:paraId="67E5ACC4">
            <w:pPr>
              <w:widowControl/>
              <w:adjustRightInd w:val="0"/>
              <w:snapToGrid w:val="0"/>
              <w:spacing w:line="240" w:lineRule="atLeast"/>
              <w:jc w:val="center"/>
              <w:rPr>
                <w:b/>
                <w:bCs/>
                <w:sz w:val="28"/>
              </w:rPr>
            </w:pPr>
            <w:r>
              <w:rPr>
                <w:b/>
                <w:bCs/>
                <w:sz w:val="28"/>
              </w:rPr>
              <w:t>CRC签字签日期</w:t>
            </w:r>
          </w:p>
        </w:tc>
        <w:tc>
          <w:tcPr>
            <w:tcW w:w="2080" w:type="dxa"/>
            <w:gridSpan w:val="2"/>
            <w:vAlign w:val="center"/>
          </w:tcPr>
          <w:p w14:paraId="5B482F6B">
            <w:pPr>
              <w:widowControl/>
              <w:adjustRightInd w:val="0"/>
              <w:snapToGrid w:val="0"/>
              <w:spacing w:line="240" w:lineRule="atLeast"/>
              <w:jc w:val="left"/>
              <w:rPr>
                <w:sz w:val="24"/>
              </w:rPr>
            </w:pPr>
          </w:p>
        </w:tc>
      </w:tr>
      <w:tr w14:paraId="1F64E75A">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833" w:hRule="atLeast"/>
          <w:jc w:val="center"/>
        </w:trPr>
        <w:tc>
          <w:tcPr>
            <w:tcW w:w="2258" w:type="dxa"/>
            <w:vAlign w:val="center"/>
          </w:tcPr>
          <w:p w14:paraId="7A410ED6">
            <w:pPr>
              <w:widowControl/>
              <w:spacing w:line="240" w:lineRule="atLeast"/>
              <w:jc w:val="center"/>
              <w:rPr>
                <w:sz w:val="28"/>
              </w:rPr>
            </w:pPr>
            <w:r>
              <w:rPr>
                <w:rFonts w:hint="eastAsia"/>
                <w:b/>
                <w:bCs/>
                <w:sz w:val="28"/>
              </w:rPr>
              <w:t>自查问题简述</w:t>
            </w:r>
          </w:p>
        </w:tc>
        <w:tc>
          <w:tcPr>
            <w:tcW w:w="6946" w:type="dxa"/>
            <w:gridSpan w:val="5"/>
            <w:vAlign w:val="center"/>
          </w:tcPr>
          <w:p w14:paraId="701AEEF4">
            <w:pPr>
              <w:widowControl/>
              <w:adjustRightInd w:val="0"/>
              <w:snapToGrid w:val="0"/>
              <w:spacing w:line="240" w:lineRule="atLeast"/>
              <w:jc w:val="left"/>
              <w:rPr>
                <w:bCs/>
                <w:sz w:val="24"/>
              </w:rPr>
            </w:pPr>
          </w:p>
          <w:p w14:paraId="4FC5AA20">
            <w:pPr>
              <w:widowControl/>
              <w:adjustRightInd w:val="0"/>
              <w:snapToGrid w:val="0"/>
              <w:spacing w:line="240" w:lineRule="atLeast"/>
              <w:jc w:val="left"/>
              <w:rPr>
                <w:bCs/>
                <w:sz w:val="24"/>
              </w:rPr>
            </w:pPr>
          </w:p>
          <w:p w14:paraId="2B99F314">
            <w:pPr>
              <w:widowControl/>
              <w:adjustRightInd w:val="0"/>
              <w:snapToGrid w:val="0"/>
              <w:spacing w:line="240" w:lineRule="atLeast"/>
              <w:jc w:val="left"/>
              <w:rPr>
                <w:bCs/>
                <w:sz w:val="24"/>
              </w:rPr>
            </w:pPr>
          </w:p>
          <w:p w14:paraId="58A4DE49">
            <w:pPr>
              <w:widowControl/>
              <w:adjustRightInd w:val="0"/>
              <w:snapToGrid w:val="0"/>
              <w:spacing w:line="240" w:lineRule="atLeast"/>
              <w:jc w:val="left"/>
              <w:rPr>
                <w:bCs/>
                <w:sz w:val="24"/>
              </w:rPr>
            </w:pPr>
          </w:p>
          <w:p w14:paraId="303DB2E7">
            <w:pPr>
              <w:widowControl/>
              <w:adjustRightInd w:val="0"/>
              <w:snapToGrid w:val="0"/>
              <w:spacing w:line="240" w:lineRule="atLeast"/>
              <w:jc w:val="left"/>
              <w:rPr>
                <w:bCs/>
                <w:sz w:val="24"/>
              </w:rPr>
            </w:pPr>
          </w:p>
          <w:p w14:paraId="46E41A98">
            <w:pPr>
              <w:widowControl/>
              <w:adjustRightInd w:val="0"/>
              <w:snapToGrid w:val="0"/>
              <w:spacing w:line="240" w:lineRule="atLeast"/>
              <w:jc w:val="left"/>
              <w:rPr>
                <w:bCs/>
                <w:sz w:val="24"/>
              </w:rPr>
            </w:pPr>
          </w:p>
          <w:p w14:paraId="0AB2DCB1">
            <w:pPr>
              <w:widowControl/>
              <w:adjustRightInd w:val="0"/>
              <w:snapToGrid w:val="0"/>
              <w:spacing w:line="240" w:lineRule="atLeast"/>
              <w:jc w:val="left"/>
              <w:rPr>
                <w:bCs/>
                <w:sz w:val="24"/>
              </w:rPr>
            </w:pPr>
          </w:p>
          <w:p w14:paraId="6CD49324">
            <w:pPr>
              <w:widowControl/>
              <w:adjustRightInd w:val="0"/>
              <w:snapToGrid w:val="0"/>
              <w:spacing w:line="240" w:lineRule="atLeast"/>
              <w:jc w:val="left"/>
              <w:rPr>
                <w:bCs/>
                <w:sz w:val="24"/>
              </w:rPr>
            </w:pPr>
          </w:p>
          <w:p w14:paraId="3D5C3CD6">
            <w:pPr>
              <w:widowControl/>
              <w:adjustRightInd w:val="0"/>
              <w:snapToGrid w:val="0"/>
              <w:spacing w:line="240" w:lineRule="atLeast"/>
              <w:jc w:val="left"/>
              <w:rPr>
                <w:bCs/>
                <w:sz w:val="24"/>
              </w:rPr>
            </w:pPr>
          </w:p>
          <w:p w14:paraId="32E82FC3">
            <w:pPr>
              <w:widowControl/>
              <w:adjustRightInd w:val="0"/>
              <w:snapToGrid w:val="0"/>
              <w:spacing w:line="240" w:lineRule="atLeast"/>
              <w:jc w:val="left"/>
              <w:rPr>
                <w:bCs/>
                <w:sz w:val="24"/>
              </w:rPr>
            </w:pPr>
          </w:p>
          <w:p w14:paraId="4E659D0B">
            <w:pPr>
              <w:widowControl/>
              <w:adjustRightInd w:val="0"/>
              <w:snapToGrid w:val="0"/>
              <w:spacing w:line="240" w:lineRule="atLeast"/>
              <w:jc w:val="left"/>
              <w:rPr>
                <w:bCs/>
                <w:sz w:val="24"/>
              </w:rPr>
            </w:pPr>
          </w:p>
          <w:p w14:paraId="6613A73F">
            <w:pPr>
              <w:widowControl/>
              <w:adjustRightInd w:val="0"/>
              <w:snapToGrid w:val="0"/>
              <w:spacing w:line="240" w:lineRule="atLeast"/>
              <w:jc w:val="left"/>
              <w:rPr>
                <w:bCs/>
                <w:sz w:val="24"/>
              </w:rPr>
            </w:pPr>
          </w:p>
          <w:p w14:paraId="09B79E99">
            <w:pPr>
              <w:widowControl/>
              <w:adjustRightInd w:val="0"/>
              <w:snapToGrid w:val="0"/>
              <w:spacing w:line="240" w:lineRule="atLeast"/>
              <w:jc w:val="left"/>
              <w:rPr>
                <w:bCs/>
                <w:sz w:val="24"/>
              </w:rPr>
            </w:pPr>
          </w:p>
          <w:p w14:paraId="7CB9242A">
            <w:pPr>
              <w:widowControl/>
              <w:adjustRightInd w:val="0"/>
              <w:snapToGrid w:val="0"/>
              <w:spacing w:line="240" w:lineRule="atLeast"/>
              <w:jc w:val="left"/>
              <w:rPr>
                <w:bCs/>
                <w:sz w:val="24"/>
              </w:rPr>
            </w:pPr>
          </w:p>
          <w:p w14:paraId="05FA0B56">
            <w:pPr>
              <w:widowControl/>
              <w:adjustRightInd w:val="0"/>
              <w:snapToGrid w:val="0"/>
              <w:spacing w:line="240" w:lineRule="atLeast"/>
              <w:jc w:val="left"/>
              <w:rPr>
                <w:bCs/>
                <w:sz w:val="24"/>
              </w:rPr>
            </w:pPr>
          </w:p>
          <w:p w14:paraId="6A3C2BAA">
            <w:pPr>
              <w:widowControl/>
              <w:adjustRightInd w:val="0"/>
              <w:snapToGrid w:val="0"/>
              <w:spacing w:line="240" w:lineRule="atLeast"/>
              <w:jc w:val="left"/>
              <w:rPr>
                <w:bCs/>
                <w:sz w:val="24"/>
              </w:rPr>
            </w:pPr>
          </w:p>
        </w:tc>
      </w:tr>
      <w:bookmarkEnd w:id="0"/>
      <w:bookmarkEnd w:id="2"/>
    </w:tbl>
    <w:tbl>
      <w:tblPr>
        <w:tblStyle w:val="8"/>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6"/>
        <w:gridCol w:w="1843"/>
      </w:tblGrid>
      <w:tr w14:paraId="7EAEC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366" w:type="dxa"/>
            <w:vMerge w:val="restart"/>
            <w:vAlign w:val="center"/>
          </w:tcPr>
          <w:p w14:paraId="3C3F9F3E">
            <w:pPr>
              <w:ind w:firstLine="480"/>
              <w:jc w:val="center"/>
              <w:rPr>
                <w:rFonts w:ascii="宋体" w:hAnsi="宋体"/>
                <w:b/>
                <w:bCs/>
                <w:color w:val="000000"/>
                <w:sz w:val="24"/>
              </w:rPr>
            </w:pPr>
            <w:r>
              <w:rPr>
                <w:rFonts w:hint="eastAsia" w:ascii="宋体" w:hAnsi="宋体"/>
                <w:b/>
                <w:bCs/>
                <w:color w:val="000000"/>
                <w:sz w:val="28"/>
                <w:szCs w:val="28"/>
              </w:rPr>
              <w:t>自查内容</w:t>
            </w:r>
          </w:p>
        </w:tc>
        <w:tc>
          <w:tcPr>
            <w:tcW w:w="1843" w:type="dxa"/>
            <w:vMerge w:val="restart"/>
            <w:vAlign w:val="center"/>
          </w:tcPr>
          <w:p w14:paraId="34C137AD">
            <w:pPr>
              <w:jc w:val="center"/>
              <w:rPr>
                <w:rFonts w:ascii="宋体" w:hAnsi="宋体"/>
                <w:color w:val="000000"/>
                <w:sz w:val="24"/>
              </w:rPr>
            </w:pPr>
            <w:r>
              <w:rPr>
                <w:rFonts w:hint="eastAsia" w:ascii="宋体" w:hAnsi="宋体"/>
                <w:b/>
                <w:bCs/>
                <w:color w:val="000000"/>
                <w:sz w:val="28"/>
                <w:szCs w:val="28"/>
              </w:rPr>
              <w:t>自查结果</w:t>
            </w:r>
          </w:p>
        </w:tc>
      </w:tr>
      <w:tr w14:paraId="6677F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7366" w:type="dxa"/>
            <w:vMerge w:val="continue"/>
          </w:tcPr>
          <w:p w14:paraId="3FCC6524">
            <w:pPr>
              <w:spacing w:line="360" w:lineRule="auto"/>
              <w:ind w:firstLine="480"/>
              <w:jc w:val="center"/>
              <w:rPr>
                <w:rFonts w:ascii="宋体" w:hAnsi="宋体"/>
                <w:color w:val="000000"/>
                <w:sz w:val="24"/>
              </w:rPr>
            </w:pPr>
          </w:p>
        </w:tc>
        <w:tc>
          <w:tcPr>
            <w:tcW w:w="1843" w:type="dxa"/>
            <w:vMerge w:val="continue"/>
            <w:vAlign w:val="center"/>
          </w:tcPr>
          <w:p w14:paraId="145B1FD7">
            <w:pPr>
              <w:spacing w:line="360" w:lineRule="auto"/>
              <w:ind w:firstLine="480"/>
              <w:jc w:val="center"/>
              <w:rPr>
                <w:rFonts w:ascii="宋体" w:hAnsi="宋体"/>
                <w:color w:val="000000"/>
                <w:sz w:val="24"/>
              </w:rPr>
            </w:pPr>
          </w:p>
        </w:tc>
      </w:tr>
      <w:tr w14:paraId="033B5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9" w:type="dxa"/>
            <w:gridSpan w:val="2"/>
            <w:vAlign w:val="center"/>
          </w:tcPr>
          <w:p w14:paraId="46048088">
            <w:pPr>
              <w:jc w:val="left"/>
              <w:rPr>
                <w:rFonts w:ascii="宋体" w:hAnsi="宋体"/>
                <w:b/>
                <w:bCs/>
                <w:sz w:val="28"/>
                <w:szCs w:val="28"/>
              </w:rPr>
            </w:pPr>
            <w:r>
              <w:rPr>
                <w:rFonts w:hint="eastAsia" w:ascii="宋体" w:hAnsi="宋体"/>
                <w:b/>
                <w:bCs/>
                <w:sz w:val="28"/>
                <w:szCs w:val="28"/>
              </w:rPr>
              <w:t>一、临床试验许可与条件</w:t>
            </w:r>
          </w:p>
        </w:tc>
      </w:tr>
      <w:tr w14:paraId="5CB05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366" w:type="dxa"/>
          </w:tcPr>
          <w:p w14:paraId="14175B20">
            <w:pPr>
              <w:pStyle w:val="11"/>
              <w:ind w:firstLine="0" w:firstLineChars="0"/>
              <w:rPr>
                <w:rFonts w:ascii="宋体" w:hAnsi="宋体" w:eastAsia="宋体"/>
                <w:sz w:val="24"/>
                <w:szCs w:val="24"/>
              </w:rPr>
            </w:pPr>
            <w:r>
              <w:rPr>
                <w:rFonts w:hint="eastAsia" w:ascii="Times New Roman" w:hAnsi="Times New Roman" w:eastAsia="宋体"/>
                <w:sz w:val="24"/>
                <w:szCs w:val="24"/>
              </w:rPr>
              <w:t>1.1</w:t>
            </w:r>
            <w:r>
              <w:rPr>
                <w:rFonts w:ascii="Times New Roman" w:hAnsi="Times New Roman" w:eastAsia="宋体"/>
                <w:sz w:val="24"/>
                <w:szCs w:val="24"/>
              </w:rPr>
              <w:t>.</w:t>
            </w:r>
            <w:r>
              <w:rPr>
                <w:rFonts w:hint="eastAsia" w:ascii="宋体" w:hAnsi="宋体" w:eastAsia="宋体" w:cs="宋体"/>
                <w:kern w:val="0"/>
                <w:sz w:val="24"/>
                <w:szCs w:val="24"/>
              </w:rPr>
              <w:t>具有合法的《药物临床试验批件》或《临床试验通知书》</w:t>
            </w:r>
          </w:p>
        </w:tc>
        <w:tc>
          <w:tcPr>
            <w:tcW w:w="1843" w:type="dxa"/>
            <w:vAlign w:val="center"/>
          </w:tcPr>
          <w:p w14:paraId="47470F07">
            <w:pPr>
              <w:pStyle w:val="11"/>
              <w:ind w:firstLine="0" w:firstLineChars="0"/>
              <w:jc w:val="center"/>
              <w:rPr>
                <w:rFonts w:ascii="宋体" w:hAnsi="宋体" w:eastAsia="宋体"/>
                <w:sz w:val="24"/>
                <w:szCs w:val="24"/>
              </w:rPr>
            </w:pPr>
            <w:r>
              <w:rPr>
                <w:rFonts w:hint="eastAsia" w:ascii="宋体" w:hAnsi="宋体" w:eastAsia="宋体"/>
                <w:sz w:val="24"/>
                <w:szCs w:val="24"/>
              </w:rPr>
              <w:t>□是□否□</w:t>
            </w:r>
            <w:r>
              <w:rPr>
                <w:rFonts w:hint="eastAsia" w:ascii="Times New Roman" w:hAnsi="Times New Roman" w:eastAsia="宋体"/>
                <w:sz w:val="24"/>
                <w:szCs w:val="24"/>
              </w:rPr>
              <w:t>NA</w:t>
            </w:r>
          </w:p>
        </w:tc>
      </w:tr>
      <w:tr w14:paraId="557C2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366" w:type="dxa"/>
          </w:tcPr>
          <w:p w14:paraId="0A19AFAB">
            <w:pPr>
              <w:pStyle w:val="11"/>
              <w:ind w:firstLine="0" w:firstLineChars="0"/>
              <w:rPr>
                <w:rFonts w:ascii="宋体" w:hAnsi="宋体" w:eastAsia="宋体"/>
                <w:sz w:val="24"/>
                <w:szCs w:val="24"/>
              </w:rPr>
            </w:pPr>
            <w:r>
              <w:rPr>
                <w:rFonts w:hint="eastAsia" w:ascii="Times New Roman" w:hAnsi="Times New Roman" w:eastAsia="宋体"/>
                <w:sz w:val="24"/>
                <w:szCs w:val="24"/>
              </w:rPr>
              <w:t>1.</w:t>
            </w:r>
            <w:r>
              <w:rPr>
                <w:rFonts w:ascii="Times New Roman" w:hAnsi="Times New Roman" w:eastAsia="宋体"/>
                <w:sz w:val="24"/>
                <w:szCs w:val="24"/>
              </w:rPr>
              <w:t>2.</w:t>
            </w:r>
            <w:r>
              <w:rPr>
                <w:rFonts w:hint="eastAsia" w:ascii="宋体" w:hAnsi="宋体" w:eastAsia="宋体"/>
                <w:sz w:val="24"/>
                <w:szCs w:val="24"/>
              </w:rPr>
              <w:t>具有药物临床试验伦理委员会批件</w:t>
            </w:r>
            <w:r>
              <w:rPr>
                <w:rFonts w:hint="eastAsia" w:ascii="宋体" w:hAnsi="宋体" w:eastAsia="宋体" w:cs="楷体_GB2312"/>
                <w:sz w:val="24"/>
                <w:szCs w:val="24"/>
              </w:rPr>
              <w:t>（含本中心和组长单位伦理</w:t>
            </w:r>
            <w:r>
              <w:rPr>
                <w:rFonts w:hint="eastAsia" w:ascii="宋体" w:hAnsi="宋体" w:eastAsia="宋体"/>
                <w:sz w:val="24"/>
                <w:szCs w:val="24"/>
              </w:rPr>
              <w:t>审查批件）</w:t>
            </w:r>
          </w:p>
        </w:tc>
        <w:tc>
          <w:tcPr>
            <w:tcW w:w="1843" w:type="dxa"/>
            <w:vAlign w:val="center"/>
          </w:tcPr>
          <w:p w14:paraId="3B19DC62">
            <w:pPr>
              <w:pStyle w:val="11"/>
              <w:ind w:firstLine="0" w:firstLineChars="0"/>
              <w:jc w:val="center"/>
              <w:rPr>
                <w:rFonts w:ascii="宋体" w:hAnsi="宋体" w:eastAsia="宋体"/>
                <w:color w:val="000000"/>
                <w:szCs w:val="21"/>
              </w:rPr>
            </w:pPr>
            <w:r>
              <w:rPr>
                <w:rFonts w:hint="eastAsia" w:ascii="宋体" w:hAnsi="宋体" w:eastAsia="宋体"/>
                <w:sz w:val="24"/>
                <w:szCs w:val="24"/>
              </w:rPr>
              <w:t>□是□否□</w:t>
            </w:r>
            <w:r>
              <w:rPr>
                <w:rFonts w:hint="eastAsia" w:ascii="Times New Roman" w:hAnsi="Times New Roman" w:eastAsia="宋体"/>
                <w:sz w:val="24"/>
                <w:szCs w:val="24"/>
              </w:rPr>
              <w:t>NA</w:t>
            </w:r>
          </w:p>
        </w:tc>
      </w:tr>
      <w:tr w14:paraId="2008C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366" w:type="dxa"/>
          </w:tcPr>
          <w:p w14:paraId="40300CF8">
            <w:pPr>
              <w:pStyle w:val="11"/>
              <w:ind w:firstLine="0" w:firstLineChars="0"/>
              <w:rPr>
                <w:rFonts w:ascii="宋体" w:hAnsi="宋体" w:eastAsia="宋体"/>
                <w:sz w:val="24"/>
                <w:szCs w:val="24"/>
              </w:rPr>
            </w:pPr>
            <w:r>
              <w:rPr>
                <w:rFonts w:hint="eastAsia" w:ascii="Times New Roman" w:hAnsi="Times New Roman" w:eastAsia="宋体"/>
                <w:sz w:val="24"/>
                <w:szCs w:val="24"/>
              </w:rPr>
              <w:t>1.3</w:t>
            </w:r>
            <w:r>
              <w:rPr>
                <w:rFonts w:ascii="Times New Roman" w:hAnsi="Times New Roman" w:eastAsia="宋体"/>
                <w:sz w:val="24"/>
                <w:szCs w:val="24"/>
              </w:rPr>
              <w:t>.</w:t>
            </w:r>
            <w:r>
              <w:rPr>
                <w:rFonts w:hint="eastAsia" w:ascii="宋体" w:hAnsi="宋体" w:eastAsia="宋体" w:cs="楷体_GB2312"/>
                <w:sz w:val="24"/>
                <w:szCs w:val="24"/>
              </w:rPr>
              <w:t>药物临床试验开始实施时间与</w:t>
            </w:r>
            <w:r>
              <w:rPr>
                <w:rFonts w:hint="eastAsia" w:ascii="Times New Roman" w:hAnsi="Times New Roman" w:eastAsia="宋体" w:cs="楷体_GB2312"/>
                <w:sz w:val="24"/>
                <w:szCs w:val="24"/>
              </w:rPr>
              <w:t>NMPA</w:t>
            </w:r>
            <w:r>
              <w:rPr>
                <w:rFonts w:hint="eastAsia" w:ascii="宋体" w:hAnsi="宋体" w:eastAsia="宋体" w:cs="楷体_GB2312"/>
                <w:sz w:val="24"/>
                <w:szCs w:val="24"/>
              </w:rPr>
              <w:t>批件时间逻辑相符</w:t>
            </w:r>
          </w:p>
        </w:tc>
        <w:tc>
          <w:tcPr>
            <w:tcW w:w="1843" w:type="dxa"/>
            <w:vAlign w:val="center"/>
          </w:tcPr>
          <w:p w14:paraId="513742E8">
            <w:pPr>
              <w:pStyle w:val="11"/>
              <w:ind w:firstLine="0" w:firstLineChars="0"/>
              <w:jc w:val="center"/>
              <w:rPr>
                <w:rFonts w:ascii="宋体" w:hAnsi="宋体" w:eastAsia="宋体"/>
                <w:sz w:val="24"/>
                <w:szCs w:val="24"/>
              </w:rPr>
            </w:pPr>
            <w:r>
              <w:rPr>
                <w:rFonts w:hint="eastAsia" w:ascii="宋体" w:hAnsi="宋体" w:eastAsia="宋体"/>
                <w:sz w:val="24"/>
                <w:szCs w:val="24"/>
              </w:rPr>
              <w:t>□是□否□</w:t>
            </w:r>
            <w:r>
              <w:rPr>
                <w:rFonts w:hint="eastAsia" w:ascii="Times New Roman" w:hAnsi="Times New Roman" w:eastAsia="宋体"/>
                <w:sz w:val="24"/>
                <w:szCs w:val="24"/>
              </w:rPr>
              <w:t>NA</w:t>
            </w:r>
          </w:p>
        </w:tc>
      </w:tr>
      <w:tr w14:paraId="3C9C4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366" w:type="dxa"/>
          </w:tcPr>
          <w:p w14:paraId="3B684385">
            <w:pPr>
              <w:pStyle w:val="11"/>
              <w:ind w:firstLine="0" w:firstLineChars="0"/>
              <w:rPr>
                <w:rFonts w:ascii="宋体" w:hAnsi="宋体" w:eastAsia="宋体"/>
                <w:sz w:val="24"/>
                <w:szCs w:val="24"/>
              </w:rPr>
            </w:pPr>
            <w:r>
              <w:rPr>
                <w:rFonts w:hint="eastAsia" w:ascii="Times New Roman" w:hAnsi="Times New Roman" w:eastAsia="宋体"/>
                <w:sz w:val="24"/>
                <w:szCs w:val="24"/>
              </w:rPr>
              <w:t>1.4.</w:t>
            </w:r>
            <w:r>
              <w:rPr>
                <w:rFonts w:hint="eastAsia" w:ascii="宋体" w:hAnsi="宋体" w:eastAsia="宋体"/>
                <w:sz w:val="24"/>
                <w:szCs w:val="24"/>
              </w:rPr>
              <w:t>具有</w:t>
            </w:r>
            <w:r>
              <w:rPr>
                <w:rFonts w:hint="eastAsia" w:ascii="宋体" w:hAnsi="宋体" w:eastAsia="宋体" w:cs="楷体_GB2312"/>
                <w:sz w:val="24"/>
                <w:szCs w:val="24"/>
              </w:rPr>
              <w:t>遗传办批件（如适用，且本中心需完成备案）</w:t>
            </w:r>
          </w:p>
        </w:tc>
        <w:tc>
          <w:tcPr>
            <w:tcW w:w="1843" w:type="dxa"/>
            <w:vAlign w:val="center"/>
          </w:tcPr>
          <w:p w14:paraId="08662D7A">
            <w:pPr>
              <w:pStyle w:val="11"/>
              <w:ind w:firstLine="0" w:firstLineChars="0"/>
              <w:jc w:val="center"/>
              <w:rPr>
                <w:rFonts w:ascii="宋体" w:hAnsi="宋体" w:eastAsia="宋体"/>
                <w:sz w:val="24"/>
                <w:szCs w:val="24"/>
              </w:rPr>
            </w:pPr>
            <w:r>
              <w:rPr>
                <w:rFonts w:hint="eastAsia" w:ascii="宋体" w:hAnsi="宋体" w:eastAsia="宋体"/>
                <w:sz w:val="24"/>
                <w:szCs w:val="24"/>
              </w:rPr>
              <w:t>□是□否□</w:t>
            </w:r>
            <w:r>
              <w:rPr>
                <w:rFonts w:hint="eastAsia" w:ascii="Times New Roman" w:hAnsi="Times New Roman" w:eastAsia="宋体"/>
                <w:sz w:val="24"/>
                <w:szCs w:val="24"/>
              </w:rPr>
              <w:t>NA</w:t>
            </w:r>
          </w:p>
        </w:tc>
      </w:tr>
      <w:tr w14:paraId="70E1D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366" w:type="dxa"/>
          </w:tcPr>
          <w:p w14:paraId="16B596AE">
            <w:pPr>
              <w:pStyle w:val="11"/>
              <w:ind w:firstLine="0" w:firstLineChars="0"/>
              <w:rPr>
                <w:rFonts w:ascii="宋体" w:hAnsi="宋体" w:eastAsia="宋体" w:cs="楷体_GB2312"/>
                <w:sz w:val="24"/>
                <w:szCs w:val="24"/>
              </w:rPr>
            </w:pPr>
            <w:r>
              <w:rPr>
                <w:rFonts w:hint="eastAsia" w:ascii="Times New Roman" w:hAnsi="Times New Roman" w:eastAsia="宋体" w:cs="楷体_GB2312"/>
                <w:sz w:val="24"/>
                <w:szCs w:val="24"/>
              </w:rPr>
              <w:t>1.5</w:t>
            </w:r>
            <w:r>
              <w:rPr>
                <w:rFonts w:ascii="Times New Roman" w:hAnsi="Times New Roman" w:eastAsia="宋体" w:cs="楷体_GB2312"/>
                <w:sz w:val="24"/>
                <w:szCs w:val="24"/>
              </w:rPr>
              <w:t>.</w:t>
            </w:r>
            <w:r>
              <w:rPr>
                <w:rFonts w:hint="eastAsia" w:ascii="宋体" w:hAnsi="宋体" w:eastAsia="宋体"/>
                <w:sz w:val="24"/>
                <w:szCs w:val="24"/>
              </w:rPr>
              <w:t>申办者与药物临床试验机构、研究者在试验开始前签署临床试验合同，对相关的责任义务进行约定</w:t>
            </w:r>
          </w:p>
        </w:tc>
        <w:tc>
          <w:tcPr>
            <w:tcW w:w="1843" w:type="dxa"/>
            <w:vAlign w:val="center"/>
          </w:tcPr>
          <w:p w14:paraId="47B5CDE6">
            <w:pPr>
              <w:pStyle w:val="11"/>
              <w:ind w:firstLine="0" w:firstLineChars="0"/>
              <w:jc w:val="center"/>
              <w:rPr>
                <w:rFonts w:ascii="宋体" w:hAnsi="宋体" w:eastAsia="宋体"/>
                <w:sz w:val="24"/>
                <w:szCs w:val="24"/>
              </w:rPr>
            </w:pPr>
            <w:r>
              <w:rPr>
                <w:rFonts w:hint="eastAsia" w:ascii="宋体" w:hAnsi="宋体" w:eastAsia="宋体"/>
                <w:sz w:val="24"/>
                <w:szCs w:val="24"/>
              </w:rPr>
              <w:t>□是□否□</w:t>
            </w:r>
            <w:r>
              <w:rPr>
                <w:rFonts w:hint="eastAsia" w:ascii="Times New Roman" w:hAnsi="Times New Roman" w:eastAsia="宋体"/>
                <w:sz w:val="24"/>
                <w:szCs w:val="24"/>
              </w:rPr>
              <w:t>NA</w:t>
            </w:r>
          </w:p>
        </w:tc>
      </w:tr>
      <w:tr w14:paraId="27781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366" w:type="dxa"/>
          </w:tcPr>
          <w:p w14:paraId="261E1FF8">
            <w:pPr>
              <w:pStyle w:val="11"/>
              <w:ind w:firstLine="0" w:firstLineChars="0"/>
              <w:rPr>
                <w:rFonts w:ascii="宋体" w:hAnsi="宋体" w:eastAsia="宋体"/>
                <w:sz w:val="24"/>
                <w:szCs w:val="24"/>
              </w:rPr>
            </w:pPr>
            <w:r>
              <w:rPr>
                <w:rFonts w:hint="eastAsia" w:ascii="Times New Roman" w:hAnsi="Times New Roman" w:eastAsia="宋体"/>
                <w:sz w:val="24"/>
                <w:szCs w:val="24"/>
              </w:rPr>
              <w:t>1.6</w:t>
            </w:r>
            <w:r>
              <w:rPr>
                <w:rFonts w:ascii="Times New Roman" w:hAnsi="Times New Roman" w:eastAsia="宋体"/>
                <w:sz w:val="24"/>
                <w:szCs w:val="24"/>
              </w:rPr>
              <w:t>.</w:t>
            </w:r>
            <w:r>
              <w:rPr>
                <w:rFonts w:hint="eastAsia" w:ascii="宋体" w:hAnsi="宋体" w:eastAsia="宋体" w:cs="楷体_GB2312"/>
                <w:sz w:val="24"/>
                <w:szCs w:val="24"/>
              </w:rPr>
              <w:t>药物临床试验开始实施时间不早于</w:t>
            </w:r>
            <w:r>
              <w:rPr>
                <w:rFonts w:hint="eastAsia" w:ascii="宋体" w:hAnsi="宋体" w:eastAsia="宋体" w:cs="楷体_GB2312"/>
                <w:sz w:val="24"/>
                <w:szCs w:val="24"/>
                <w:lang w:val="en-US" w:eastAsia="zh-CN"/>
              </w:rPr>
              <w:t>成都上锦南府医院</w:t>
            </w:r>
            <w:r>
              <w:rPr>
                <w:rFonts w:hint="eastAsia" w:ascii="宋体" w:hAnsi="宋体" w:eastAsia="宋体" w:cs="楷体_GB2312"/>
                <w:sz w:val="24"/>
                <w:szCs w:val="24"/>
              </w:rPr>
              <w:t>机构办公室发放启动通知函时间</w:t>
            </w:r>
          </w:p>
        </w:tc>
        <w:tc>
          <w:tcPr>
            <w:tcW w:w="1843" w:type="dxa"/>
            <w:vAlign w:val="center"/>
          </w:tcPr>
          <w:p w14:paraId="5C3A83F3">
            <w:pPr>
              <w:jc w:val="center"/>
              <w:rPr>
                <w:rFonts w:ascii="宋体" w:hAnsi="宋体"/>
                <w:sz w:val="24"/>
              </w:rPr>
            </w:pPr>
            <w:r>
              <w:rPr>
                <w:rFonts w:hint="eastAsia" w:ascii="宋体" w:hAnsi="宋体"/>
                <w:sz w:val="24"/>
              </w:rPr>
              <w:t>□是□否□</w:t>
            </w:r>
            <w:r>
              <w:rPr>
                <w:rFonts w:hint="eastAsia"/>
                <w:sz w:val="24"/>
              </w:rPr>
              <w:t>NA</w:t>
            </w:r>
          </w:p>
        </w:tc>
      </w:tr>
      <w:tr w14:paraId="07878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366" w:type="dxa"/>
          </w:tcPr>
          <w:p w14:paraId="6CD415E8">
            <w:pPr>
              <w:pStyle w:val="11"/>
              <w:ind w:firstLine="0" w:firstLineChars="0"/>
              <w:rPr>
                <w:rFonts w:ascii="宋体" w:hAnsi="宋体" w:eastAsia="宋体"/>
                <w:sz w:val="24"/>
                <w:szCs w:val="24"/>
              </w:rPr>
            </w:pPr>
            <w:r>
              <w:rPr>
                <w:rFonts w:hint="eastAsia" w:ascii="Times New Roman" w:hAnsi="Times New Roman" w:eastAsia="宋体"/>
                <w:sz w:val="24"/>
                <w:szCs w:val="24"/>
              </w:rPr>
              <w:t>1.7</w:t>
            </w:r>
            <w:r>
              <w:rPr>
                <w:rFonts w:ascii="Times New Roman" w:hAnsi="Times New Roman" w:eastAsia="宋体"/>
                <w:sz w:val="24"/>
                <w:szCs w:val="24"/>
              </w:rPr>
              <w:t>.</w:t>
            </w:r>
            <w:r>
              <w:rPr>
                <w:rFonts w:hint="eastAsia" w:ascii="宋体" w:hAnsi="宋体" w:eastAsia="宋体"/>
                <w:sz w:val="24"/>
                <w:szCs w:val="24"/>
              </w:rPr>
              <w:t>配备有与所承担药物临床试验相适应的充足的研究者，研究者具备与开展工作相适应的资质和能力，职责、分工、授权清晰合理</w:t>
            </w:r>
          </w:p>
        </w:tc>
        <w:tc>
          <w:tcPr>
            <w:tcW w:w="1843" w:type="dxa"/>
            <w:vAlign w:val="center"/>
          </w:tcPr>
          <w:p w14:paraId="166A2067">
            <w:pPr>
              <w:jc w:val="center"/>
              <w:rPr>
                <w:rFonts w:ascii="宋体" w:hAnsi="宋体"/>
                <w:sz w:val="24"/>
              </w:rPr>
            </w:pPr>
            <w:r>
              <w:rPr>
                <w:rFonts w:hint="eastAsia" w:ascii="宋体" w:hAnsi="宋体"/>
                <w:sz w:val="24"/>
              </w:rPr>
              <w:t>□是□否□</w:t>
            </w:r>
            <w:r>
              <w:rPr>
                <w:rFonts w:hint="eastAsia"/>
                <w:sz w:val="24"/>
              </w:rPr>
              <w:t>NA</w:t>
            </w:r>
          </w:p>
        </w:tc>
      </w:tr>
      <w:tr w14:paraId="3413B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366" w:type="dxa"/>
          </w:tcPr>
          <w:p w14:paraId="609B13B7">
            <w:pPr>
              <w:pStyle w:val="11"/>
              <w:ind w:firstLine="0" w:firstLineChars="0"/>
              <w:rPr>
                <w:rFonts w:ascii="宋体" w:hAnsi="宋体" w:eastAsia="宋体"/>
                <w:sz w:val="24"/>
                <w:szCs w:val="24"/>
              </w:rPr>
            </w:pPr>
            <w:r>
              <w:rPr>
                <w:rFonts w:hint="eastAsia" w:ascii="Times New Roman" w:hAnsi="Times New Roman" w:eastAsia="宋体"/>
                <w:sz w:val="24"/>
                <w:szCs w:val="24"/>
              </w:rPr>
              <w:t>1.8</w:t>
            </w:r>
            <w:r>
              <w:rPr>
                <w:rFonts w:ascii="Times New Roman" w:hAnsi="Times New Roman" w:eastAsia="宋体"/>
                <w:sz w:val="24"/>
                <w:szCs w:val="24"/>
              </w:rPr>
              <w:t>.</w:t>
            </w:r>
            <w:r>
              <w:rPr>
                <w:rFonts w:hint="eastAsia" w:ascii="宋体" w:hAnsi="宋体" w:eastAsia="宋体"/>
                <w:sz w:val="24"/>
                <w:szCs w:val="24"/>
              </w:rPr>
              <w:t>被授权人员得到与授权内容相应的培训，</w:t>
            </w:r>
            <w:r>
              <w:rPr>
                <w:rFonts w:ascii="宋体" w:hAnsi="宋体" w:eastAsia="宋体"/>
                <w:sz w:val="24"/>
                <w:szCs w:val="24"/>
              </w:rPr>
              <w:t>且具有相关培训记录</w:t>
            </w:r>
          </w:p>
        </w:tc>
        <w:tc>
          <w:tcPr>
            <w:tcW w:w="1843" w:type="dxa"/>
            <w:vAlign w:val="center"/>
          </w:tcPr>
          <w:p w14:paraId="1C597114">
            <w:pPr>
              <w:jc w:val="center"/>
              <w:rPr>
                <w:rFonts w:ascii="宋体" w:hAnsi="宋体"/>
                <w:sz w:val="24"/>
              </w:rPr>
            </w:pPr>
            <w:r>
              <w:rPr>
                <w:rFonts w:hint="eastAsia" w:ascii="宋体" w:hAnsi="宋体"/>
                <w:sz w:val="24"/>
              </w:rPr>
              <w:t>□是□否□</w:t>
            </w:r>
            <w:r>
              <w:rPr>
                <w:rFonts w:hint="eastAsia"/>
                <w:sz w:val="24"/>
              </w:rPr>
              <w:t>NA</w:t>
            </w:r>
          </w:p>
        </w:tc>
      </w:tr>
      <w:tr w14:paraId="7BABB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366" w:type="dxa"/>
          </w:tcPr>
          <w:p w14:paraId="18A1607C">
            <w:pPr>
              <w:pStyle w:val="11"/>
              <w:ind w:firstLine="0" w:firstLineChars="0"/>
              <w:rPr>
                <w:rFonts w:ascii="宋体" w:hAnsi="宋体" w:eastAsia="宋体"/>
                <w:sz w:val="24"/>
                <w:szCs w:val="24"/>
              </w:rPr>
            </w:pPr>
            <w:r>
              <w:rPr>
                <w:rFonts w:hint="eastAsia" w:ascii="Times New Roman" w:hAnsi="Times New Roman" w:eastAsia="宋体"/>
                <w:sz w:val="24"/>
                <w:szCs w:val="24"/>
              </w:rPr>
              <w:t>1.9</w:t>
            </w:r>
            <w:r>
              <w:rPr>
                <w:rFonts w:ascii="Times New Roman" w:hAnsi="Times New Roman" w:eastAsia="宋体"/>
                <w:sz w:val="24"/>
                <w:szCs w:val="24"/>
              </w:rPr>
              <w:t>.</w:t>
            </w:r>
            <w:r>
              <w:rPr>
                <w:rFonts w:hint="eastAsia" w:ascii="宋体" w:hAnsi="宋体" w:eastAsia="宋体"/>
                <w:sz w:val="24"/>
                <w:szCs w:val="24"/>
              </w:rPr>
              <w:t>对受试者的知情、入排及相关医学判断和处理均由具有执业资格的研究者执行并记录</w:t>
            </w:r>
          </w:p>
        </w:tc>
        <w:tc>
          <w:tcPr>
            <w:tcW w:w="1843" w:type="dxa"/>
            <w:vAlign w:val="center"/>
          </w:tcPr>
          <w:p w14:paraId="04414F20">
            <w:pPr>
              <w:jc w:val="center"/>
              <w:rPr>
                <w:rFonts w:ascii="宋体" w:hAnsi="宋体"/>
                <w:sz w:val="24"/>
              </w:rPr>
            </w:pPr>
            <w:r>
              <w:rPr>
                <w:rFonts w:hint="eastAsia" w:ascii="宋体" w:hAnsi="宋体"/>
                <w:sz w:val="24"/>
              </w:rPr>
              <w:t>□是□否□</w:t>
            </w:r>
            <w:r>
              <w:rPr>
                <w:rFonts w:hint="eastAsia"/>
                <w:sz w:val="24"/>
              </w:rPr>
              <w:t>NA</w:t>
            </w:r>
          </w:p>
        </w:tc>
      </w:tr>
      <w:tr w14:paraId="222BF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366" w:type="dxa"/>
          </w:tcPr>
          <w:p w14:paraId="07DBDF9C">
            <w:pPr>
              <w:pStyle w:val="11"/>
              <w:ind w:firstLine="0" w:firstLineChars="0"/>
              <w:rPr>
                <w:rFonts w:ascii="宋体" w:hAnsi="宋体" w:eastAsia="宋体"/>
                <w:sz w:val="24"/>
                <w:szCs w:val="24"/>
              </w:rPr>
            </w:pPr>
            <w:r>
              <w:rPr>
                <w:rFonts w:hint="eastAsia" w:ascii="Times New Roman" w:hAnsi="Times New Roman" w:eastAsia="宋体"/>
                <w:sz w:val="24"/>
                <w:szCs w:val="24"/>
              </w:rPr>
              <w:t>1.10</w:t>
            </w:r>
            <w:r>
              <w:rPr>
                <w:rFonts w:ascii="Times New Roman" w:hAnsi="Times New Roman" w:eastAsia="宋体"/>
                <w:sz w:val="24"/>
                <w:szCs w:val="24"/>
              </w:rPr>
              <w:t>.</w:t>
            </w:r>
            <w:r>
              <w:rPr>
                <w:rFonts w:hint="eastAsia" w:ascii="宋体" w:hAnsi="宋体" w:eastAsia="宋体"/>
                <w:sz w:val="24"/>
                <w:szCs w:val="24"/>
              </w:rPr>
              <w:t>医疗机构临床实验室具有国家卫生健康部门认可的临床实验室的室间质评证书，且室间质评证书评价项目应包括试验相关的全部检验项目</w:t>
            </w:r>
          </w:p>
        </w:tc>
        <w:tc>
          <w:tcPr>
            <w:tcW w:w="1843" w:type="dxa"/>
            <w:vAlign w:val="center"/>
          </w:tcPr>
          <w:p w14:paraId="6195AF29">
            <w:pPr>
              <w:jc w:val="center"/>
              <w:rPr>
                <w:rFonts w:ascii="宋体" w:hAnsi="宋体"/>
                <w:sz w:val="24"/>
              </w:rPr>
            </w:pPr>
            <w:r>
              <w:rPr>
                <w:rFonts w:hint="eastAsia" w:ascii="宋体" w:hAnsi="宋体"/>
                <w:sz w:val="24"/>
              </w:rPr>
              <w:t>□是□否□</w:t>
            </w:r>
            <w:r>
              <w:rPr>
                <w:rFonts w:hint="eastAsia"/>
                <w:sz w:val="24"/>
              </w:rPr>
              <w:t>NA</w:t>
            </w:r>
          </w:p>
        </w:tc>
      </w:tr>
      <w:tr w14:paraId="42897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0BDC4479">
            <w:pPr>
              <w:rPr>
                <w:rFonts w:ascii="宋体" w:hAnsi="宋体"/>
                <w:b/>
                <w:bCs/>
                <w:sz w:val="28"/>
                <w:szCs w:val="28"/>
              </w:rPr>
            </w:pPr>
            <w:r>
              <w:rPr>
                <w:rFonts w:hint="eastAsia" w:ascii="宋体" w:hAnsi="宋体"/>
                <w:b/>
                <w:bCs/>
                <w:sz w:val="28"/>
                <w:szCs w:val="28"/>
              </w:rPr>
              <w:t>二、伦理审查</w:t>
            </w:r>
          </w:p>
        </w:tc>
        <w:tc>
          <w:tcPr>
            <w:tcW w:w="1843" w:type="dxa"/>
            <w:vAlign w:val="center"/>
          </w:tcPr>
          <w:p w14:paraId="3C66B3CF">
            <w:pPr>
              <w:jc w:val="center"/>
              <w:rPr>
                <w:rFonts w:ascii="宋体" w:hAnsi="宋体"/>
                <w:sz w:val="24"/>
              </w:rPr>
            </w:pPr>
          </w:p>
        </w:tc>
      </w:tr>
      <w:tr w14:paraId="016AB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57F8F90C">
            <w:pPr>
              <w:pStyle w:val="11"/>
              <w:ind w:firstLine="0" w:firstLineChars="0"/>
              <w:rPr>
                <w:rFonts w:ascii="宋体" w:hAnsi="宋体"/>
                <w:b/>
                <w:bCs/>
                <w:sz w:val="28"/>
                <w:szCs w:val="28"/>
              </w:rPr>
            </w:pPr>
            <w:r>
              <w:rPr>
                <w:rFonts w:hint="eastAsia" w:ascii="Times New Roman" w:hAnsi="Times New Roman" w:eastAsia="宋体"/>
                <w:sz w:val="24"/>
                <w:szCs w:val="24"/>
              </w:rPr>
              <w:t>2.1.</w:t>
            </w:r>
            <w:r>
              <w:rPr>
                <w:rFonts w:hint="eastAsia" w:ascii="宋体" w:hAnsi="宋体" w:eastAsia="宋体"/>
                <w:sz w:val="24"/>
                <w:szCs w:val="24"/>
              </w:rPr>
              <w:t xml:space="preserve"> 伦理委员会及遗传办（如适用）批准的所有版本的试验方案</w:t>
            </w:r>
            <w:r>
              <w:rPr>
                <w:rFonts w:hint="eastAsia" w:ascii="宋体" w:hAnsi="宋体" w:eastAsia="宋体"/>
                <w:color w:val="000000" w:themeColor="text1"/>
                <w:sz w:val="24"/>
                <w:szCs w:val="24"/>
                <w14:textFill>
                  <w14:solidFill>
                    <w14:schemeClr w14:val="tx1"/>
                  </w14:solidFill>
                </w14:textFill>
              </w:rPr>
              <w:t>（首页盖申办者</w:t>
            </w:r>
            <w:r>
              <w:rPr>
                <w:rFonts w:ascii="宋体" w:hAnsi="宋体" w:eastAsia="宋体"/>
                <w:color w:val="000000" w:themeColor="text1"/>
                <w:sz w:val="24"/>
                <w:szCs w:val="24"/>
                <w14:textFill>
                  <w14:solidFill>
                    <w14:schemeClr w14:val="tx1"/>
                  </w14:solidFill>
                </w14:textFill>
              </w:rPr>
              <w:t>/</w:t>
            </w:r>
            <w:r>
              <w:rPr>
                <w:rFonts w:ascii="Times New Roman" w:hAnsi="Times New Roman" w:eastAsia="宋体"/>
                <w:color w:val="000000" w:themeColor="text1"/>
                <w:sz w:val="24"/>
                <w:szCs w:val="24"/>
                <w14:textFill>
                  <w14:solidFill>
                    <w14:schemeClr w14:val="tx1"/>
                  </w14:solidFill>
                </w14:textFill>
              </w:rPr>
              <w:t>CRO</w:t>
            </w:r>
            <w:r>
              <w:rPr>
                <w:rFonts w:hint="eastAsia" w:ascii="宋体" w:hAnsi="宋体" w:eastAsia="宋体"/>
                <w:color w:val="000000" w:themeColor="text1"/>
                <w:sz w:val="24"/>
                <w:szCs w:val="24"/>
                <w14:textFill>
                  <w14:solidFill>
                    <w14:schemeClr w14:val="tx1"/>
                  </w14:solidFill>
                </w14:textFill>
              </w:rPr>
              <w:t>红章）</w:t>
            </w:r>
            <w:r>
              <w:rPr>
                <w:rFonts w:hint="eastAsia" w:ascii="宋体" w:hAnsi="宋体" w:eastAsia="宋体"/>
                <w:sz w:val="24"/>
                <w:szCs w:val="24"/>
              </w:rPr>
              <w:t>、知情同意书、招募广告等文件保存完整，且相关临床试验操作均按照对应时间段的最新版方案执行</w:t>
            </w:r>
          </w:p>
        </w:tc>
        <w:tc>
          <w:tcPr>
            <w:tcW w:w="1843" w:type="dxa"/>
            <w:vAlign w:val="center"/>
          </w:tcPr>
          <w:p w14:paraId="59647679">
            <w:pPr>
              <w:jc w:val="center"/>
              <w:rPr>
                <w:rFonts w:ascii="宋体" w:hAnsi="宋体"/>
                <w:sz w:val="24"/>
              </w:rPr>
            </w:pPr>
            <w:r>
              <w:rPr>
                <w:rFonts w:hint="eastAsia" w:ascii="宋体" w:hAnsi="宋体"/>
                <w:sz w:val="24"/>
              </w:rPr>
              <w:t>□是□否□</w:t>
            </w:r>
            <w:r>
              <w:rPr>
                <w:rFonts w:hint="eastAsia"/>
                <w:sz w:val="24"/>
              </w:rPr>
              <w:t>NA</w:t>
            </w:r>
          </w:p>
        </w:tc>
      </w:tr>
      <w:tr w14:paraId="770BD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19F94AAA">
            <w:pPr>
              <w:pStyle w:val="11"/>
              <w:ind w:firstLine="0" w:firstLineChars="0"/>
              <w:rPr>
                <w:rFonts w:ascii="宋体" w:hAnsi="宋体"/>
                <w:b/>
                <w:bCs/>
                <w:sz w:val="28"/>
                <w:szCs w:val="28"/>
              </w:rPr>
            </w:pPr>
            <w:r>
              <w:rPr>
                <w:rFonts w:hint="eastAsia" w:ascii="Times New Roman" w:hAnsi="Times New Roman" w:eastAsia="宋体"/>
                <w:sz w:val="24"/>
                <w:szCs w:val="24"/>
              </w:rPr>
              <w:t>2.2.</w:t>
            </w:r>
            <w:r>
              <w:rPr>
                <w:rFonts w:hint="eastAsia" w:ascii="宋体" w:hAnsi="宋体" w:eastAsia="宋体"/>
                <w:sz w:val="24"/>
                <w:szCs w:val="24"/>
              </w:rPr>
              <w:t>方案偏离、进展报告等情况及时向伦理委员会报告</w:t>
            </w:r>
          </w:p>
        </w:tc>
        <w:tc>
          <w:tcPr>
            <w:tcW w:w="1843" w:type="dxa"/>
            <w:vAlign w:val="center"/>
          </w:tcPr>
          <w:p w14:paraId="053A324D">
            <w:pPr>
              <w:jc w:val="center"/>
              <w:rPr>
                <w:rFonts w:ascii="宋体" w:hAnsi="宋体"/>
                <w:sz w:val="24"/>
              </w:rPr>
            </w:pPr>
            <w:r>
              <w:rPr>
                <w:rFonts w:hint="eastAsia" w:ascii="宋体" w:hAnsi="宋体"/>
                <w:sz w:val="24"/>
              </w:rPr>
              <w:t>□是□否□</w:t>
            </w:r>
            <w:r>
              <w:rPr>
                <w:rFonts w:hint="eastAsia"/>
                <w:sz w:val="24"/>
              </w:rPr>
              <w:t>NA</w:t>
            </w:r>
          </w:p>
        </w:tc>
      </w:tr>
      <w:tr w14:paraId="75311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3CEC2CBB">
            <w:pPr>
              <w:rPr>
                <w:rFonts w:ascii="宋体" w:hAnsi="宋体"/>
                <w:b/>
                <w:bCs/>
                <w:sz w:val="28"/>
                <w:szCs w:val="28"/>
              </w:rPr>
            </w:pPr>
            <w:r>
              <w:rPr>
                <w:rFonts w:hint="eastAsia" w:ascii="宋体" w:hAnsi="宋体"/>
                <w:b/>
                <w:bCs/>
                <w:sz w:val="28"/>
                <w:szCs w:val="28"/>
              </w:rPr>
              <w:t>三、临床试验实施过程</w:t>
            </w:r>
          </w:p>
        </w:tc>
        <w:tc>
          <w:tcPr>
            <w:tcW w:w="1843" w:type="dxa"/>
            <w:vAlign w:val="center"/>
          </w:tcPr>
          <w:p w14:paraId="5F635535">
            <w:pPr>
              <w:jc w:val="center"/>
              <w:rPr>
                <w:rFonts w:ascii="宋体" w:hAnsi="宋体"/>
                <w:sz w:val="24"/>
              </w:rPr>
            </w:pPr>
          </w:p>
        </w:tc>
      </w:tr>
      <w:tr w14:paraId="54055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521EB8E4">
            <w:pPr>
              <w:rPr>
                <w:rFonts w:ascii="宋体" w:hAnsi="宋体"/>
                <w:b/>
                <w:bCs/>
                <w:sz w:val="28"/>
                <w:szCs w:val="28"/>
              </w:rPr>
            </w:pPr>
            <w:r>
              <w:rPr>
                <w:b/>
                <w:bCs/>
                <w:sz w:val="28"/>
                <w:szCs w:val="28"/>
              </w:rPr>
              <w:t>3.1</w:t>
            </w:r>
            <w:r>
              <w:rPr>
                <w:rFonts w:hint="eastAsia" w:ascii="宋体" w:hAnsi="宋体"/>
                <w:b/>
                <w:bCs/>
                <w:sz w:val="28"/>
                <w:szCs w:val="28"/>
              </w:rPr>
              <w:t>知情同意书的签署</w:t>
            </w:r>
          </w:p>
        </w:tc>
        <w:tc>
          <w:tcPr>
            <w:tcW w:w="1843" w:type="dxa"/>
            <w:vAlign w:val="center"/>
          </w:tcPr>
          <w:p w14:paraId="77DE475C">
            <w:pPr>
              <w:jc w:val="center"/>
              <w:rPr>
                <w:rFonts w:ascii="宋体" w:hAnsi="宋体"/>
                <w:sz w:val="24"/>
              </w:rPr>
            </w:pPr>
          </w:p>
        </w:tc>
      </w:tr>
      <w:tr w14:paraId="69A09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54D8A3D0">
            <w:pPr>
              <w:rPr>
                <w:rFonts w:ascii="宋体" w:hAnsi="宋体"/>
                <w:b/>
                <w:bCs/>
                <w:sz w:val="28"/>
                <w:szCs w:val="28"/>
              </w:rPr>
            </w:pPr>
            <w:r>
              <w:rPr>
                <w:color w:val="000000"/>
                <w:sz w:val="24"/>
              </w:rPr>
              <w:t>3.1.1</w:t>
            </w:r>
            <w:r>
              <w:rPr>
                <w:rFonts w:hint="eastAsia" w:ascii="宋体" w:hAnsi="宋体"/>
                <w:color w:val="000000"/>
                <w:sz w:val="24"/>
              </w:rPr>
              <w:t>．研究者应当使用最新版的知情同意书；如果受试者在药物临床试验过程中发生了知情同意书变更，应当再次签署更新后的知情同意书</w:t>
            </w:r>
          </w:p>
        </w:tc>
        <w:tc>
          <w:tcPr>
            <w:tcW w:w="1843" w:type="dxa"/>
            <w:vAlign w:val="center"/>
          </w:tcPr>
          <w:p w14:paraId="5FC283C6">
            <w:pPr>
              <w:jc w:val="center"/>
              <w:rPr>
                <w:rFonts w:ascii="宋体" w:hAnsi="宋体"/>
                <w:sz w:val="24"/>
              </w:rPr>
            </w:pPr>
            <w:r>
              <w:rPr>
                <w:rFonts w:hint="eastAsia" w:ascii="宋体" w:hAnsi="宋体"/>
                <w:sz w:val="24"/>
              </w:rPr>
              <w:t>□是□否□</w:t>
            </w:r>
            <w:r>
              <w:rPr>
                <w:rFonts w:hint="eastAsia"/>
                <w:sz w:val="24"/>
              </w:rPr>
              <w:t>NA</w:t>
            </w:r>
          </w:p>
        </w:tc>
      </w:tr>
      <w:tr w14:paraId="26619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55C3CFDA">
            <w:pPr>
              <w:rPr>
                <w:rFonts w:ascii="宋体" w:hAnsi="宋体"/>
                <w:b/>
                <w:bCs/>
                <w:sz w:val="28"/>
                <w:szCs w:val="28"/>
              </w:rPr>
            </w:pPr>
            <w:r>
              <w:rPr>
                <w:color w:val="000000"/>
                <w:sz w:val="24"/>
              </w:rPr>
              <w:t>3.1.2</w:t>
            </w:r>
            <w:r>
              <w:rPr>
                <w:rFonts w:hint="eastAsia" w:ascii="宋体" w:hAnsi="宋体"/>
                <w:color w:val="000000"/>
                <w:sz w:val="24"/>
              </w:rPr>
              <w:t>．知情同意书的签署应该符合伦理及</w:t>
            </w:r>
            <w:r>
              <w:rPr>
                <w:rFonts w:hint="eastAsia"/>
                <w:color w:val="000000"/>
                <w:sz w:val="24"/>
              </w:rPr>
              <w:t>GCP</w:t>
            </w:r>
            <w:r>
              <w:rPr>
                <w:rFonts w:hint="eastAsia" w:ascii="宋体" w:hAnsi="宋体"/>
                <w:color w:val="000000"/>
                <w:sz w:val="24"/>
              </w:rPr>
              <w:t>要求，知情过程应当记录包括但不限于：参加人员、知情同意开始时间、介绍的方案名称和版本信息、试验流程、干预措施、可能的获益和风险、试验期间的义务和补偿、受试者的提问以及回复内容、签署知情同意书的版本信息和具体时间点等（集体知情应记录集体宣讲开始和结束时间）</w:t>
            </w:r>
          </w:p>
        </w:tc>
        <w:tc>
          <w:tcPr>
            <w:tcW w:w="1843" w:type="dxa"/>
            <w:vAlign w:val="center"/>
          </w:tcPr>
          <w:p w14:paraId="0A72812E">
            <w:pPr>
              <w:jc w:val="center"/>
              <w:rPr>
                <w:rFonts w:ascii="宋体" w:hAnsi="宋体"/>
                <w:sz w:val="24"/>
              </w:rPr>
            </w:pPr>
            <w:r>
              <w:rPr>
                <w:rFonts w:hint="eastAsia" w:ascii="宋体" w:hAnsi="宋体"/>
                <w:sz w:val="24"/>
              </w:rPr>
              <w:t>□是</w:t>
            </w:r>
            <w:bookmarkStart w:id="3" w:name="_GoBack"/>
            <w:bookmarkEnd w:id="3"/>
            <w:r>
              <w:rPr>
                <w:rFonts w:hint="eastAsia" w:ascii="宋体" w:hAnsi="宋体"/>
                <w:sz w:val="24"/>
              </w:rPr>
              <w:t>□否□</w:t>
            </w:r>
            <w:r>
              <w:rPr>
                <w:rFonts w:hint="eastAsia"/>
                <w:sz w:val="24"/>
              </w:rPr>
              <w:t>NA</w:t>
            </w:r>
          </w:p>
        </w:tc>
      </w:tr>
      <w:tr w14:paraId="16EE9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21781701">
            <w:pPr>
              <w:rPr>
                <w:rFonts w:ascii="宋体" w:hAnsi="宋体"/>
                <w:color w:val="000000"/>
                <w:sz w:val="24"/>
              </w:rPr>
            </w:pPr>
            <w:r>
              <w:rPr>
                <w:color w:val="000000"/>
                <w:sz w:val="24"/>
              </w:rPr>
              <w:t>3.1.</w:t>
            </w:r>
            <w:r>
              <w:rPr>
                <w:rFonts w:hint="eastAsia"/>
                <w:color w:val="000000"/>
                <w:sz w:val="24"/>
              </w:rPr>
              <w:t>3</w:t>
            </w:r>
            <w:r>
              <w:rPr>
                <w:rFonts w:hint="eastAsia" w:ascii="宋体" w:hAnsi="宋体"/>
                <w:color w:val="000000"/>
                <w:sz w:val="24"/>
              </w:rPr>
              <w:t>．已签署的知情同意书数量与原始筛查资料、筛选入选表、鉴认代码表中的数量一致</w:t>
            </w:r>
          </w:p>
        </w:tc>
        <w:tc>
          <w:tcPr>
            <w:tcW w:w="1843" w:type="dxa"/>
            <w:vAlign w:val="center"/>
          </w:tcPr>
          <w:p w14:paraId="70DC5D42">
            <w:pPr>
              <w:jc w:val="center"/>
              <w:rPr>
                <w:rFonts w:ascii="宋体" w:hAnsi="宋体"/>
                <w:sz w:val="24"/>
              </w:rPr>
            </w:pPr>
            <w:r>
              <w:rPr>
                <w:rFonts w:hint="eastAsia" w:ascii="宋体" w:hAnsi="宋体"/>
                <w:sz w:val="24"/>
              </w:rPr>
              <w:t>□是□否□</w:t>
            </w:r>
            <w:r>
              <w:rPr>
                <w:rFonts w:hint="eastAsia"/>
                <w:sz w:val="24"/>
              </w:rPr>
              <w:t>NA</w:t>
            </w:r>
          </w:p>
        </w:tc>
      </w:tr>
      <w:tr w14:paraId="6104D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0A2493A3">
            <w:pPr>
              <w:rPr>
                <w:rFonts w:ascii="宋体" w:hAnsi="宋体"/>
                <w:color w:val="000000"/>
                <w:sz w:val="24"/>
              </w:rPr>
            </w:pPr>
            <w:r>
              <w:rPr>
                <w:color w:val="000000"/>
                <w:sz w:val="24"/>
              </w:rPr>
              <w:t>3.1.</w:t>
            </w:r>
            <w:r>
              <w:rPr>
                <w:rFonts w:hint="eastAsia"/>
                <w:color w:val="000000"/>
                <w:sz w:val="24"/>
              </w:rPr>
              <w:t>4</w:t>
            </w:r>
            <w:r>
              <w:rPr>
                <w:rFonts w:hint="eastAsia" w:ascii="宋体" w:hAnsi="宋体"/>
                <w:color w:val="000000"/>
                <w:sz w:val="24"/>
              </w:rPr>
              <w:t>．知情同意书签署时间不早于伦理批准时间，筛选时间不得早于知情同意书签署时间</w:t>
            </w:r>
          </w:p>
        </w:tc>
        <w:tc>
          <w:tcPr>
            <w:tcW w:w="1843" w:type="dxa"/>
            <w:vAlign w:val="center"/>
          </w:tcPr>
          <w:p w14:paraId="59FDCCAF">
            <w:pPr>
              <w:jc w:val="center"/>
              <w:rPr>
                <w:rFonts w:ascii="宋体" w:hAnsi="宋体"/>
                <w:sz w:val="24"/>
              </w:rPr>
            </w:pPr>
            <w:r>
              <w:rPr>
                <w:rFonts w:hint="eastAsia" w:ascii="宋体" w:hAnsi="宋体"/>
                <w:sz w:val="24"/>
              </w:rPr>
              <w:t>□是□否□</w:t>
            </w:r>
            <w:r>
              <w:rPr>
                <w:rFonts w:hint="eastAsia"/>
                <w:sz w:val="24"/>
              </w:rPr>
              <w:t>NA</w:t>
            </w:r>
          </w:p>
        </w:tc>
      </w:tr>
      <w:tr w14:paraId="043DC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1958300F">
            <w:pPr>
              <w:rPr>
                <w:rFonts w:ascii="宋体" w:hAnsi="宋体"/>
                <w:color w:val="000000"/>
                <w:sz w:val="24"/>
              </w:rPr>
            </w:pPr>
            <w:r>
              <w:rPr>
                <w:color w:val="000000"/>
                <w:sz w:val="24"/>
              </w:rPr>
              <w:t>3.1.</w:t>
            </w:r>
            <w:r>
              <w:rPr>
                <w:rFonts w:hint="eastAsia"/>
                <w:color w:val="000000"/>
                <w:sz w:val="24"/>
              </w:rPr>
              <w:t>5.</w:t>
            </w:r>
            <w:r>
              <w:rPr>
                <w:rFonts w:hint="eastAsia" w:ascii="宋体" w:hAnsi="宋体"/>
                <w:color w:val="000000"/>
                <w:sz w:val="24"/>
              </w:rPr>
              <w:t>生物样本的采集（</w:t>
            </w:r>
            <w:r>
              <w:rPr>
                <w:rFonts w:hint="eastAsia"/>
                <w:color w:val="000000"/>
                <w:sz w:val="24"/>
              </w:rPr>
              <w:t>PK</w:t>
            </w:r>
            <w:r>
              <w:rPr>
                <w:rFonts w:hint="eastAsia" w:ascii="宋体" w:hAnsi="宋体"/>
                <w:color w:val="000000"/>
                <w:sz w:val="24"/>
              </w:rPr>
              <w:t>、</w:t>
            </w:r>
            <w:r>
              <w:rPr>
                <w:rFonts w:hint="eastAsia"/>
                <w:color w:val="000000"/>
                <w:sz w:val="24"/>
              </w:rPr>
              <w:t>PD</w:t>
            </w:r>
            <w:r>
              <w:rPr>
                <w:rFonts w:hint="eastAsia" w:ascii="宋体" w:hAnsi="宋体"/>
                <w:color w:val="000000"/>
                <w:sz w:val="24"/>
              </w:rPr>
              <w:t>、组织切片等）需获得伦理及遗传办（如适用）批准，且具有相关知情（</w:t>
            </w:r>
            <w:r>
              <w:rPr>
                <w:rFonts w:hint="eastAsia"/>
                <w:color w:val="000000"/>
                <w:sz w:val="24"/>
              </w:rPr>
              <w:t>ICF</w:t>
            </w:r>
            <w:r>
              <w:rPr>
                <w:rFonts w:hint="eastAsia" w:ascii="宋体" w:hAnsi="宋体"/>
                <w:color w:val="000000"/>
                <w:sz w:val="24"/>
              </w:rPr>
              <w:t>中包含相关采集内容）记录</w:t>
            </w:r>
          </w:p>
        </w:tc>
        <w:tc>
          <w:tcPr>
            <w:tcW w:w="1843" w:type="dxa"/>
            <w:vAlign w:val="center"/>
          </w:tcPr>
          <w:p w14:paraId="5BF9DE16">
            <w:pPr>
              <w:jc w:val="center"/>
              <w:rPr>
                <w:rFonts w:ascii="宋体" w:hAnsi="宋体"/>
                <w:sz w:val="24"/>
              </w:rPr>
            </w:pPr>
            <w:r>
              <w:rPr>
                <w:rFonts w:hint="eastAsia" w:ascii="宋体" w:hAnsi="宋体"/>
                <w:sz w:val="24"/>
              </w:rPr>
              <w:t>□是□否□</w:t>
            </w:r>
            <w:r>
              <w:rPr>
                <w:rFonts w:hint="eastAsia"/>
                <w:sz w:val="24"/>
              </w:rPr>
              <w:t>NA</w:t>
            </w:r>
          </w:p>
        </w:tc>
      </w:tr>
      <w:tr w14:paraId="5E377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2D1F9811">
            <w:pPr>
              <w:rPr>
                <w:rFonts w:ascii="宋体" w:hAnsi="宋体"/>
                <w:color w:val="000000"/>
                <w:sz w:val="24"/>
              </w:rPr>
            </w:pPr>
            <w:r>
              <w:rPr>
                <w:rFonts w:hint="eastAsia"/>
                <w:b/>
                <w:bCs/>
                <w:sz w:val="28"/>
                <w:szCs w:val="28"/>
              </w:rPr>
              <w:t>3</w:t>
            </w:r>
            <w:r>
              <w:rPr>
                <w:b/>
                <w:bCs/>
                <w:sz w:val="28"/>
                <w:szCs w:val="28"/>
              </w:rPr>
              <w:t>.2</w:t>
            </w:r>
            <w:r>
              <w:rPr>
                <w:rFonts w:hint="eastAsia" w:ascii="宋体" w:hAnsi="宋体"/>
                <w:b/>
                <w:bCs/>
                <w:sz w:val="28"/>
                <w:szCs w:val="28"/>
              </w:rPr>
              <w:t>受试者筛选入组及方案执行</w:t>
            </w:r>
          </w:p>
        </w:tc>
        <w:tc>
          <w:tcPr>
            <w:tcW w:w="1843" w:type="dxa"/>
            <w:vAlign w:val="center"/>
          </w:tcPr>
          <w:p w14:paraId="13DFD0F5">
            <w:pPr>
              <w:jc w:val="center"/>
              <w:rPr>
                <w:rFonts w:ascii="宋体" w:hAnsi="宋体"/>
                <w:sz w:val="24"/>
              </w:rPr>
            </w:pPr>
          </w:p>
        </w:tc>
      </w:tr>
      <w:tr w14:paraId="35523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725ED153">
            <w:pPr>
              <w:rPr>
                <w:rFonts w:ascii="宋体" w:hAnsi="宋体"/>
                <w:color w:val="000000"/>
                <w:sz w:val="24"/>
              </w:rPr>
            </w:pPr>
            <w:r>
              <w:rPr>
                <w:color w:val="000000"/>
                <w:sz w:val="24"/>
              </w:rPr>
              <w:t>3.2.</w:t>
            </w:r>
            <w:r>
              <w:rPr>
                <w:rFonts w:hint="eastAsia"/>
                <w:color w:val="000000"/>
                <w:sz w:val="24"/>
              </w:rPr>
              <w:t>1</w:t>
            </w:r>
            <w:r>
              <w:rPr>
                <w:rFonts w:hint="eastAsia" w:ascii="宋体" w:hAnsi="宋体"/>
                <w:color w:val="000000"/>
                <w:sz w:val="24"/>
              </w:rPr>
              <w:t>．受试者筛选，入选、随机、设盲等应符合药物临床试验方案要求，并留存所有支持性证据</w:t>
            </w:r>
          </w:p>
        </w:tc>
        <w:tc>
          <w:tcPr>
            <w:tcW w:w="1843" w:type="dxa"/>
            <w:vAlign w:val="center"/>
          </w:tcPr>
          <w:p w14:paraId="7E593531">
            <w:pPr>
              <w:jc w:val="center"/>
              <w:rPr>
                <w:rFonts w:ascii="宋体" w:hAnsi="宋体"/>
                <w:sz w:val="24"/>
              </w:rPr>
            </w:pPr>
            <w:r>
              <w:rPr>
                <w:rFonts w:hint="eastAsia" w:ascii="宋体" w:hAnsi="宋体"/>
                <w:sz w:val="24"/>
              </w:rPr>
              <w:t>□是□否□</w:t>
            </w:r>
            <w:r>
              <w:rPr>
                <w:rFonts w:hint="eastAsia"/>
                <w:sz w:val="24"/>
              </w:rPr>
              <w:t>NA</w:t>
            </w:r>
          </w:p>
        </w:tc>
      </w:tr>
      <w:tr w14:paraId="40297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5B7DBA1A">
            <w:pPr>
              <w:rPr>
                <w:rFonts w:ascii="宋体" w:hAnsi="宋体"/>
                <w:color w:val="000000"/>
                <w:sz w:val="24"/>
              </w:rPr>
            </w:pPr>
            <w:r>
              <w:rPr>
                <w:color w:val="000000"/>
                <w:sz w:val="24"/>
              </w:rPr>
              <w:t>3.2.</w:t>
            </w:r>
            <w:r>
              <w:rPr>
                <w:rFonts w:hint="eastAsia"/>
                <w:color w:val="000000"/>
                <w:sz w:val="24"/>
              </w:rPr>
              <w:t>2</w:t>
            </w:r>
            <w:r>
              <w:rPr>
                <w:rFonts w:hint="eastAsia" w:ascii="宋体" w:hAnsi="宋体"/>
                <w:color w:val="000000"/>
                <w:sz w:val="24"/>
              </w:rPr>
              <w:t>．受试者筛选入选表、鉴认代码表等原始资料应当涵盖受试者身份鉴别的基本信息</w:t>
            </w:r>
          </w:p>
        </w:tc>
        <w:tc>
          <w:tcPr>
            <w:tcW w:w="1843" w:type="dxa"/>
            <w:vAlign w:val="center"/>
          </w:tcPr>
          <w:p w14:paraId="45A34688">
            <w:pPr>
              <w:jc w:val="center"/>
              <w:rPr>
                <w:rFonts w:ascii="宋体" w:hAnsi="宋体"/>
                <w:sz w:val="24"/>
              </w:rPr>
            </w:pPr>
            <w:r>
              <w:rPr>
                <w:rFonts w:hint="eastAsia" w:ascii="宋体" w:hAnsi="宋体"/>
                <w:sz w:val="24"/>
              </w:rPr>
              <w:t>□是□否□</w:t>
            </w:r>
            <w:r>
              <w:rPr>
                <w:rFonts w:hint="eastAsia"/>
                <w:sz w:val="24"/>
              </w:rPr>
              <w:t>NA</w:t>
            </w:r>
          </w:p>
        </w:tc>
      </w:tr>
      <w:tr w14:paraId="63750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591AB904">
            <w:pPr>
              <w:rPr>
                <w:rFonts w:ascii="宋体" w:hAnsi="宋体"/>
                <w:color w:val="000000" w:themeColor="text1"/>
                <w:sz w:val="24"/>
                <w14:textFill>
                  <w14:solidFill>
                    <w14:schemeClr w14:val="tx1"/>
                  </w14:solidFill>
                </w14:textFill>
              </w:rPr>
            </w:pPr>
            <w:r>
              <w:rPr>
                <w:color w:val="000000"/>
                <w:sz w:val="24"/>
              </w:rPr>
              <w:t>3.2.3.</w:t>
            </w:r>
            <w:r>
              <w:rPr>
                <w:rFonts w:hint="eastAsia" w:ascii="宋体" w:hAnsi="宋体"/>
                <w:color w:val="000000" w:themeColor="text1"/>
                <w:sz w:val="24"/>
                <w14:textFill>
                  <w14:solidFill>
                    <w14:schemeClr w14:val="tx1"/>
                  </w14:solidFill>
                </w14:textFill>
              </w:rPr>
              <w:t>研究者应当遵守药物临床试验方案规定的随机化程序，给予受试者相应的试验用药品</w:t>
            </w:r>
          </w:p>
        </w:tc>
        <w:tc>
          <w:tcPr>
            <w:tcW w:w="1843" w:type="dxa"/>
            <w:vAlign w:val="center"/>
          </w:tcPr>
          <w:p w14:paraId="0A44D530">
            <w:pPr>
              <w:jc w:val="center"/>
              <w:rPr>
                <w:rFonts w:ascii="宋体" w:hAnsi="宋体"/>
                <w:sz w:val="24"/>
              </w:rPr>
            </w:pPr>
            <w:r>
              <w:rPr>
                <w:rFonts w:hint="eastAsia" w:ascii="宋体" w:hAnsi="宋体"/>
                <w:sz w:val="24"/>
              </w:rPr>
              <w:t>□是□否□</w:t>
            </w:r>
            <w:r>
              <w:rPr>
                <w:rFonts w:hint="eastAsia"/>
                <w:sz w:val="24"/>
              </w:rPr>
              <w:t>NA</w:t>
            </w:r>
          </w:p>
        </w:tc>
      </w:tr>
      <w:tr w14:paraId="518A2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217C2C8E">
            <w:pPr>
              <w:rPr>
                <w:rFonts w:ascii="宋体" w:hAnsi="宋体"/>
                <w:color w:val="000000" w:themeColor="text1"/>
                <w:sz w:val="24"/>
                <w14:textFill>
                  <w14:solidFill>
                    <w14:schemeClr w14:val="tx1"/>
                  </w14:solidFill>
                </w14:textFill>
              </w:rPr>
            </w:pPr>
            <w:r>
              <w:rPr>
                <w:color w:val="000000"/>
                <w:sz w:val="24"/>
              </w:rPr>
              <w:t>3.2.4.</w:t>
            </w:r>
            <w:r>
              <w:rPr>
                <w:rFonts w:hint="eastAsia" w:ascii="宋体" w:hAnsi="宋体"/>
                <w:color w:val="000000" w:themeColor="text1"/>
                <w:sz w:val="24"/>
                <w14:textFill>
                  <w14:solidFill>
                    <w14:schemeClr w14:val="tx1"/>
                  </w14:solidFill>
                </w14:textFill>
              </w:rPr>
              <w:t>研究者应按照药物临床试验方案规定的给药方案（包括剂量、间期、疗程、给药方式和配制方法等）给予受试者试验用药品</w:t>
            </w:r>
          </w:p>
        </w:tc>
        <w:tc>
          <w:tcPr>
            <w:tcW w:w="1843" w:type="dxa"/>
            <w:vAlign w:val="center"/>
          </w:tcPr>
          <w:p w14:paraId="69B3BB4D">
            <w:pPr>
              <w:jc w:val="center"/>
              <w:rPr>
                <w:rFonts w:ascii="宋体" w:hAnsi="宋体"/>
                <w:sz w:val="24"/>
              </w:rPr>
            </w:pPr>
            <w:r>
              <w:rPr>
                <w:rFonts w:hint="eastAsia" w:ascii="宋体" w:hAnsi="宋体"/>
                <w:sz w:val="24"/>
              </w:rPr>
              <w:t>□是□否□</w:t>
            </w:r>
            <w:r>
              <w:rPr>
                <w:rFonts w:hint="eastAsia"/>
                <w:sz w:val="24"/>
              </w:rPr>
              <w:t>NA</w:t>
            </w:r>
          </w:p>
        </w:tc>
      </w:tr>
      <w:tr w14:paraId="45E52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2C744476">
            <w:pPr>
              <w:rPr>
                <w:rFonts w:ascii="宋体" w:hAnsi="宋体"/>
                <w:color w:val="000000" w:themeColor="text1"/>
                <w:sz w:val="24"/>
                <w14:textFill>
                  <w14:solidFill>
                    <w14:schemeClr w14:val="tx1"/>
                  </w14:solidFill>
                </w14:textFill>
              </w:rPr>
            </w:pPr>
            <w:r>
              <w:rPr>
                <w:color w:val="000000"/>
                <w:sz w:val="24"/>
              </w:rPr>
              <w:t>3.2.5.</w:t>
            </w:r>
            <w:r>
              <w:rPr>
                <w:rFonts w:hint="eastAsia" w:ascii="宋体" w:hAnsi="宋体"/>
                <w:color w:val="000000" w:themeColor="text1"/>
                <w:sz w:val="24"/>
                <w14:textFill>
                  <w14:solidFill>
                    <w14:schemeClr w14:val="tx1"/>
                  </w14:solidFill>
                </w14:textFill>
              </w:rPr>
              <w:t>研究者应按照药物临床试验方案规定的试验流程和评估方法实施试验（包括访视时间点、随访检查和评估等）</w:t>
            </w:r>
          </w:p>
        </w:tc>
        <w:tc>
          <w:tcPr>
            <w:tcW w:w="1843" w:type="dxa"/>
            <w:vAlign w:val="center"/>
          </w:tcPr>
          <w:p w14:paraId="38634966">
            <w:pPr>
              <w:jc w:val="center"/>
              <w:rPr>
                <w:rFonts w:ascii="宋体" w:hAnsi="宋体"/>
                <w:sz w:val="24"/>
              </w:rPr>
            </w:pPr>
            <w:r>
              <w:rPr>
                <w:rFonts w:hint="eastAsia" w:ascii="宋体" w:hAnsi="宋体"/>
                <w:sz w:val="24"/>
              </w:rPr>
              <w:t>□是□否□</w:t>
            </w:r>
            <w:r>
              <w:rPr>
                <w:rFonts w:hint="eastAsia"/>
                <w:sz w:val="24"/>
              </w:rPr>
              <w:t>NA</w:t>
            </w:r>
          </w:p>
        </w:tc>
      </w:tr>
      <w:tr w14:paraId="6785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47600D54">
            <w:pPr>
              <w:rPr>
                <w:rFonts w:ascii="宋体" w:hAnsi="宋体"/>
                <w:color w:val="000000" w:themeColor="text1"/>
                <w:sz w:val="24"/>
                <w14:textFill>
                  <w14:solidFill>
                    <w14:schemeClr w14:val="tx1"/>
                  </w14:solidFill>
                </w14:textFill>
              </w:rPr>
            </w:pPr>
            <w:r>
              <w:rPr>
                <w:color w:val="000000"/>
                <w:sz w:val="24"/>
              </w:rPr>
              <w:t>3.2.6.</w:t>
            </w:r>
            <w:r>
              <w:rPr>
                <w:rFonts w:hint="eastAsia" w:ascii="宋体" w:hAnsi="宋体"/>
                <w:color w:val="000000" w:themeColor="text1"/>
                <w:sz w:val="24"/>
                <w14:textFill>
                  <w14:solidFill>
                    <w14:schemeClr w14:val="tx1"/>
                  </w14:solidFill>
                </w14:textFill>
              </w:rPr>
              <w:t>盲法试验（如涉及）应当按照试验方案的要求设盲、保持盲态和实施揭盲，并保存相关记录（包括但不限于揭盲</w:t>
            </w:r>
            <w:r>
              <w:rPr>
                <w:rFonts w:hint="eastAsia"/>
                <w:color w:val="000000" w:themeColor="text1"/>
                <w:sz w:val="24"/>
                <w14:textFill>
                  <w14:solidFill>
                    <w14:schemeClr w14:val="tx1"/>
                  </w14:solidFill>
                </w14:textFill>
              </w:rPr>
              <w:t>SOP</w:t>
            </w:r>
            <w:r>
              <w:rPr>
                <w:rFonts w:hint="eastAsia" w:ascii="宋体" w:hAnsi="宋体"/>
                <w:color w:val="000000" w:themeColor="text1"/>
                <w:sz w:val="24"/>
                <w14:textFill>
                  <w14:solidFill>
                    <w14:schemeClr w14:val="tx1"/>
                  </w14:solidFill>
                </w14:textFill>
              </w:rPr>
              <w:t>文件、揭盲操作记录等）;意外破盲或因严重不良事件（</w:t>
            </w:r>
            <w:r>
              <w:rPr>
                <w:rFonts w:hint="eastAsia"/>
                <w:color w:val="000000" w:themeColor="text1"/>
                <w:sz w:val="24"/>
                <w14:textFill>
                  <w14:solidFill>
                    <w14:schemeClr w14:val="tx1"/>
                  </w14:solidFill>
                </w14:textFill>
              </w:rPr>
              <w:t>SAE</w:t>
            </w:r>
            <w:r>
              <w:rPr>
                <w:rFonts w:hint="eastAsia" w:ascii="宋体" w:hAnsi="宋体"/>
                <w:color w:val="000000" w:themeColor="text1"/>
                <w:sz w:val="24"/>
                <w14:textFill>
                  <w14:solidFill>
                    <w14:schemeClr w14:val="tx1"/>
                  </w14:solidFill>
                </w14:textFill>
              </w:rPr>
              <w:t>）需紧急揭盲应书面说明原因，并及时报告机构与伦理</w:t>
            </w:r>
          </w:p>
        </w:tc>
        <w:tc>
          <w:tcPr>
            <w:tcW w:w="1843" w:type="dxa"/>
            <w:vAlign w:val="center"/>
          </w:tcPr>
          <w:p w14:paraId="17317E98">
            <w:pPr>
              <w:jc w:val="center"/>
              <w:rPr>
                <w:rFonts w:ascii="宋体" w:hAnsi="宋体"/>
                <w:sz w:val="24"/>
              </w:rPr>
            </w:pPr>
            <w:r>
              <w:rPr>
                <w:rFonts w:hint="eastAsia" w:ascii="宋体" w:hAnsi="宋体"/>
                <w:sz w:val="24"/>
              </w:rPr>
              <w:t>□是□否□</w:t>
            </w:r>
            <w:r>
              <w:rPr>
                <w:rFonts w:hint="eastAsia"/>
                <w:sz w:val="24"/>
              </w:rPr>
              <w:t>NA</w:t>
            </w:r>
          </w:p>
        </w:tc>
      </w:tr>
      <w:tr w14:paraId="17102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27BBE625">
            <w:pPr>
              <w:rPr>
                <w:rFonts w:ascii="宋体" w:hAnsi="宋体"/>
                <w:b/>
                <w:bCs/>
                <w:color w:val="000000" w:themeColor="text1"/>
                <w:sz w:val="28"/>
                <w:szCs w:val="28"/>
                <w14:textFill>
                  <w14:solidFill>
                    <w14:schemeClr w14:val="tx1"/>
                  </w14:solidFill>
                </w14:textFill>
              </w:rPr>
            </w:pPr>
            <w:r>
              <w:rPr>
                <w:color w:val="000000"/>
                <w:sz w:val="24"/>
              </w:rPr>
              <w:t>3.2.7.</w:t>
            </w:r>
            <w:r>
              <w:rPr>
                <w:rFonts w:hint="eastAsia" w:ascii="宋体" w:hAnsi="宋体"/>
                <w:color w:val="000000"/>
                <w:sz w:val="24"/>
              </w:rPr>
              <w:t>受试者的退出和剔除应当按照药物临床试验方案的要求执行，记录实际情况并保存原始记录</w:t>
            </w:r>
          </w:p>
        </w:tc>
        <w:tc>
          <w:tcPr>
            <w:tcW w:w="1843" w:type="dxa"/>
            <w:vAlign w:val="center"/>
          </w:tcPr>
          <w:p w14:paraId="7F807A7C">
            <w:pPr>
              <w:jc w:val="center"/>
              <w:rPr>
                <w:rFonts w:ascii="宋体" w:hAnsi="宋体"/>
                <w:sz w:val="24"/>
              </w:rPr>
            </w:pPr>
            <w:r>
              <w:rPr>
                <w:rFonts w:hint="eastAsia" w:ascii="宋体" w:hAnsi="宋体"/>
                <w:sz w:val="24"/>
              </w:rPr>
              <w:t>□是□否□</w:t>
            </w:r>
            <w:r>
              <w:rPr>
                <w:rFonts w:hint="eastAsia"/>
                <w:sz w:val="24"/>
              </w:rPr>
              <w:t>NA</w:t>
            </w:r>
          </w:p>
        </w:tc>
      </w:tr>
      <w:tr w14:paraId="15303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2F704BD4">
            <w:pPr>
              <w:rPr>
                <w:rFonts w:ascii="宋体" w:hAnsi="宋体"/>
                <w:color w:val="000000" w:themeColor="text1"/>
                <w:sz w:val="24"/>
                <w14:textFill>
                  <w14:solidFill>
                    <w14:schemeClr w14:val="tx1"/>
                  </w14:solidFill>
                </w14:textFill>
              </w:rPr>
            </w:pPr>
            <w:r>
              <w:rPr>
                <w:color w:val="000000"/>
                <w:sz w:val="24"/>
              </w:rPr>
              <w:t>3.2.</w:t>
            </w:r>
            <w:r>
              <w:rPr>
                <w:rFonts w:hint="eastAsia"/>
                <w:color w:val="000000"/>
                <w:sz w:val="24"/>
              </w:rPr>
              <w:t>8</w:t>
            </w:r>
            <w:r>
              <w:rPr>
                <w:color w:val="000000"/>
                <w:sz w:val="24"/>
              </w:rPr>
              <w:t>.</w:t>
            </w:r>
            <w:r>
              <w:rPr>
                <w:rFonts w:hint="eastAsia" w:ascii="宋体" w:hAnsi="宋体"/>
                <w:color w:val="000000" w:themeColor="text1"/>
                <w:sz w:val="24"/>
                <w14:textFill>
                  <w14:solidFill>
                    <w14:schemeClr w14:val="tx1"/>
                  </w14:solidFill>
                </w14:textFill>
              </w:rPr>
              <w:t>生物样本采集、处理、保存、转运等过程应符合试验方案、实验室手册、遗传办批件（如适用）等文件要求</w:t>
            </w:r>
          </w:p>
        </w:tc>
        <w:tc>
          <w:tcPr>
            <w:tcW w:w="1843" w:type="dxa"/>
            <w:vAlign w:val="center"/>
          </w:tcPr>
          <w:p w14:paraId="13FCD5A5">
            <w:pPr>
              <w:jc w:val="center"/>
              <w:rPr>
                <w:rFonts w:ascii="宋体" w:hAnsi="宋体"/>
                <w:sz w:val="24"/>
              </w:rPr>
            </w:pPr>
            <w:r>
              <w:rPr>
                <w:rFonts w:hint="eastAsia" w:ascii="宋体" w:hAnsi="宋体"/>
                <w:sz w:val="24"/>
              </w:rPr>
              <w:t>□是□否□</w:t>
            </w:r>
            <w:r>
              <w:rPr>
                <w:rFonts w:hint="eastAsia"/>
                <w:sz w:val="24"/>
              </w:rPr>
              <w:t>NA</w:t>
            </w:r>
          </w:p>
        </w:tc>
      </w:tr>
      <w:tr w14:paraId="26342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224B5624">
            <w:pPr>
              <w:rPr>
                <w:rFonts w:ascii="宋体" w:hAnsi="宋体"/>
                <w:color w:val="000000" w:themeColor="text1"/>
                <w:sz w:val="24"/>
                <w14:textFill>
                  <w14:solidFill>
                    <w14:schemeClr w14:val="tx1"/>
                  </w14:solidFill>
                </w14:textFill>
              </w:rPr>
            </w:pPr>
            <w:r>
              <w:rPr>
                <w:rFonts w:hint="eastAsia"/>
                <w:b/>
                <w:bCs/>
                <w:sz w:val="28"/>
                <w:szCs w:val="28"/>
              </w:rPr>
              <w:t>3</w:t>
            </w:r>
            <w:r>
              <w:rPr>
                <w:b/>
                <w:bCs/>
                <w:sz w:val="28"/>
                <w:szCs w:val="28"/>
              </w:rPr>
              <w:t>.3</w:t>
            </w:r>
            <w:r>
              <w:rPr>
                <w:rFonts w:hint="eastAsia" w:ascii="宋体" w:hAnsi="宋体"/>
                <w:b/>
                <w:bCs/>
                <w:sz w:val="28"/>
                <w:szCs w:val="28"/>
              </w:rPr>
              <w:t>药物临床试验过程数据记录与报告</w:t>
            </w:r>
          </w:p>
        </w:tc>
        <w:tc>
          <w:tcPr>
            <w:tcW w:w="1843" w:type="dxa"/>
            <w:vAlign w:val="center"/>
          </w:tcPr>
          <w:p w14:paraId="08FD8EC7">
            <w:pPr>
              <w:jc w:val="center"/>
              <w:rPr>
                <w:rFonts w:ascii="宋体" w:hAnsi="宋体"/>
                <w:sz w:val="24"/>
              </w:rPr>
            </w:pPr>
          </w:p>
        </w:tc>
      </w:tr>
      <w:tr w14:paraId="09BCC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16F40933">
            <w:pPr>
              <w:rPr>
                <w:rFonts w:ascii="宋体" w:hAnsi="宋体"/>
                <w:color w:val="000000" w:themeColor="text1"/>
                <w:sz w:val="24"/>
                <w14:textFill>
                  <w14:solidFill>
                    <w14:schemeClr w14:val="tx1"/>
                  </w14:solidFill>
                </w14:textFill>
              </w:rPr>
            </w:pPr>
            <w:r>
              <w:rPr>
                <w:color w:val="000000" w:themeColor="text1"/>
                <w:sz w:val="24"/>
                <w14:textFill>
                  <w14:solidFill>
                    <w14:schemeClr w14:val="tx1"/>
                  </w14:solidFill>
                </w14:textFill>
              </w:rPr>
              <w:t>3.3.</w:t>
            </w:r>
            <w:r>
              <w:rPr>
                <w:rFonts w:hint="eastAsia"/>
                <w:color w:val="000000" w:themeColor="text1"/>
                <w:sz w:val="24"/>
                <w14:textFill>
                  <w14:solidFill>
                    <w14:schemeClr w14:val="tx1"/>
                  </w14:solidFill>
                </w14:textFill>
              </w:rPr>
              <w:t>1</w:t>
            </w:r>
            <w:r>
              <w:rPr>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临床试验中的所有纸质记录应有受控标志，包含版本号、日期以及页码</w:t>
            </w:r>
          </w:p>
        </w:tc>
        <w:tc>
          <w:tcPr>
            <w:tcW w:w="1843" w:type="dxa"/>
            <w:vAlign w:val="center"/>
          </w:tcPr>
          <w:p w14:paraId="38AAC88D">
            <w:pPr>
              <w:jc w:val="center"/>
              <w:rPr>
                <w:rFonts w:ascii="宋体" w:hAnsi="宋体"/>
                <w:sz w:val="24"/>
              </w:rPr>
            </w:pPr>
            <w:r>
              <w:rPr>
                <w:rFonts w:hint="eastAsia" w:ascii="宋体" w:hAnsi="宋体"/>
                <w:sz w:val="24"/>
              </w:rPr>
              <w:t>□是□否□</w:t>
            </w:r>
            <w:r>
              <w:rPr>
                <w:rFonts w:hint="eastAsia"/>
                <w:sz w:val="24"/>
              </w:rPr>
              <w:t>NA</w:t>
            </w:r>
          </w:p>
        </w:tc>
      </w:tr>
      <w:tr w14:paraId="6E2EA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36759361">
            <w:pPr>
              <w:rPr>
                <w:rFonts w:ascii="宋体" w:hAnsi="宋体"/>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源数据</w:t>
            </w:r>
            <w:r>
              <w:rPr>
                <w:rFonts w:hint="eastAsia" w:ascii="宋体" w:hAnsi="宋体"/>
                <w:color w:val="000000" w:themeColor="text1"/>
                <w:sz w:val="24"/>
                <w:vertAlign w:val="superscript"/>
                <w14:textFill>
                  <w14:solidFill>
                    <w14:schemeClr w14:val="tx1"/>
                  </w14:solidFill>
                </w14:textFill>
              </w:rPr>
              <w:t>（</w:t>
            </w:r>
            <w:r>
              <w:rPr>
                <w:rFonts w:hint="eastAsia"/>
                <w:color w:val="000000" w:themeColor="text1"/>
                <w:sz w:val="24"/>
                <w:vertAlign w:val="superscript"/>
                <w14:textFill>
                  <w14:solidFill>
                    <w14:schemeClr w14:val="tx1"/>
                  </w14:solidFill>
                </w14:textFill>
              </w:rPr>
              <w:t>1</w:t>
            </w:r>
            <w:r>
              <w:rPr>
                <w:rFonts w:hint="eastAsia" w:ascii="宋体" w:hAnsi="宋体"/>
                <w:color w:val="000000" w:themeColor="text1"/>
                <w:sz w:val="24"/>
                <w:vertAlign w:val="superscript"/>
                <w14:textFill>
                  <w14:solidFill>
                    <w14:schemeClr w14:val="tx1"/>
                  </w14:solidFill>
                </w14:textFill>
              </w:rPr>
              <w:t>）</w:t>
            </w:r>
            <w:r>
              <w:rPr>
                <w:rFonts w:hint="eastAsia" w:ascii="宋体" w:hAnsi="宋体"/>
                <w:color w:val="000000" w:themeColor="text1"/>
                <w:sz w:val="24"/>
                <w14:textFill>
                  <w14:solidFill>
                    <w14:schemeClr w14:val="tx1"/>
                  </w14:solidFill>
                </w14:textFill>
              </w:rPr>
              <w:t>修改应当留痕，不能掩盖初始数据，保留修改轨迹，并注明修改理由后由修改者签名、签日期</w:t>
            </w:r>
          </w:p>
        </w:tc>
        <w:tc>
          <w:tcPr>
            <w:tcW w:w="1843" w:type="dxa"/>
            <w:vAlign w:val="center"/>
          </w:tcPr>
          <w:p w14:paraId="7C171993">
            <w:pPr>
              <w:jc w:val="center"/>
              <w:rPr>
                <w:rFonts w:ascii="宋体" w:hAnsi="宋体"/>
                <w:sz w:val="24"/>
              </w:rPr>
            </w:pPr>
            <w:r>
              <w:rPr>
                <w:rFonts w:hint="eastAsia" w:ascii="宋体" w:hAnsi="宋体"/>
                <w:sz w:val="24"/>
              </w:rPr>
              <w:t>□是□否□</w:t>
            </w:r>
            <w:r>
              <w:rPr>
                <w:rFonts w:hint="eastAsia"/>
                <w:sz w:val="24"/>
              </w:rPr>
              <w:t>NA</w:t>
            </w:r>
          </w:p>
        </w:tc>
      </w:tr>
      <w:tr w14:paraId="6E189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585F8943">
            <w:pPr>
              <w:rPr>
                <w:rFonts w:ascii="宋体" w:hAnsi="宋体"/>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3</w:t>
            </w:r>
            <w:r>
              <w:rPr>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以患者为受试者的药物临床试验，相关医疗记录应当载入门诊或住院病历系统</w:t>
            </w:r>
          </w:p>
        </w:tc>
        <w:tc>
          <w:tcPr>
            <w:tcW w:w="1843" w:type="dxa"/>
            <w:vAlign w:val="center"/>
          </w:tcPr>
          <w:p w14:paraId="2EB9FB35">
            <w:pPr>
              <w:jc w:val="center"/>
              <w:rPr>
                <w:rFonts w:ascii="宋体" w:hAnsi="宋体"/>
                <w:sz w:val="24"/>
              </w:rPr>
            </w:pPr>
            <w:r>
              <w:rPr>
                <w:rFonts w:hint="eastAsia" w:ascii="宋体" w:hAnsi="宋体"/>
                <w:sz w:val="24"/>
              </w:rPr>
              <w:t>□是□否□</w:t>
            </w:r>
            <w:r>
              <w:rPr>
                <w:rFonts w:hint="eastAsia"/>
                <w:sz w:val="24"/>
              </w:rPr>
              <w:t>NA</w:t>
            </w:r>
          </w:p>
        </w:tc>
      </w:tr>
      <w:tr w14:paraId="0FB8E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27ED8A93">
            <w:pPr>
              <w:rPr>
                <w:rFonts w:ascii="宋体" w:hAnsi="宋体"/>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4</w:t>
            </w:r>
            <w:r>
              <w:rPr>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若数据处理过程中发生数据转换，确保转换后的数据与原数据一致和该数据转化过程的可见性</w:t>
            </w:r>
          </w:p>
        </w:tc>
        <w:tc>
          <w:tcPr>
            <w:tcW w:w="1843" w:type="dxa"/>
            <w:vAlign w:val="center"/>
          </w:tcPr>
          <w:p w14:paraId="53CED100">
            <w:pPr>
              <w:jc w:val="center"/>
              <w:rPr>
                <w:rFonts w:ascii="宋体" w:hAnsi="宋体"/>
                <w:sz w:val="24"/>
              </w:rPr>
            </w:pPr>
            <w:r>
              <w:rPr>
                <w:rFonts w:hint="eastAsia" w:ascii="宋体" w:hAnsi="宋体"/>
                <w:sz w:val="24"/>
              </w:rPr>
              <w:t>□是□否□</w:t>
            </w:r>
            <w:r>
              <w:rPr>
                <w:rFonts w:hint="eastAsia"/>
                <w:sz w:val="24"/>
              </w:rPr>
              <w:t>NA</w:t>
            </w:r>
          </w:p>
        </w:tc>
      </w:tr>
      <w:tr w14:paraId="327E6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59EF06F4">
            <w:pPr>
              <w:rPr>
                <w:rFonts w:ascii="宋体" w:hAnsi="宋体"/>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外部数据</w:t>
            </w:r>
            <w:r>
              <w:rPr>
                <w:rFonts w:hint="eastAsia" w:ascii="宋体" w:hAnsi="宋体"/>
                <w:color w:val="000000" w:themeColor="text1"/>
                <w:sz w:val="24"/>
                <w:vertAlign w:val="superscript"/>
                <w14:textFill>
                  <w14:solidFill>
                    <w14:schemeClr w14:val="tx1"/>
                  </w14:solidFill>
                </w14:textFill>
              </w:rPr>
              <w:t>（</w:t>
            </w:r>
            <w:r>
              <w:rPr>
                <w:rFonts w:hint="eastAsia"/>
                <w:color w:val="000000" w:themeColor="text1"/>
                <w:sz w:val="24"/>
                <w:vertAlign w:val="superscript"/>
                <w14:textFill>
                  <w14:solidFill>
                    <w14:schemeClr w14:val="tx1"/>
                  </w14:solidFill>
                </w14:textFill>
              </w:rPr>
              <w:t>2</w:t>
            </w:r>
            <w:r>
              <w:rPr>
                <w:rFonts w:hint="eastAsia" w:ascii="宋体" w:hAnsi="宋体"/>
                <w:color w:val="000000" w:themeColor="text1"/>
                <w:sz w:val="24"/>
                <w:vertAlign w:val="superscript"/>
                <w14:textFill>
                  <w14:solidFill>
                    <w14:schemeClr w14:val="tx1"/>
                  </w14:solidFill>
                </w14:textFill>
              </w:rPr>
              <w:t>）</w:t>
            </w:r>
            <w:r>
              <w:rPr>
                <w:rFonts w:hint="eastAsia" w:ascii="宋体" w:hAnsi="宋体"/>
                <w:color w:val="000000" w:themeColor="text1"/>
                <w:sz w:val="24"/>
                <w14:textFill>
                  <w14:solidFill>
                    <w14:schemeClr w14:val="tx1"/>
                  </w14:solidFill>
                </w14:textFill>
              </w:rPr>
              <w:t>应确保数据可溯源</w:t>
            </w:r>
          </w:p>
        </w:tc>
        <w:tc>
          <w:tcPr>
            <w:tcW w:w="1843" w:type="dxa"/>
            <w:vAlign w:val="center"/>
          </w:tcPr>
          <w:p w14:paraId="3AC1F40A">
            <w:pPr>
              <w:jc w:val="center"/>
              <w:rPr>
                <w:rFonts w:ascii="宋体" w:hAnsi="宋体"/>
                <w:sz w:val="24"/>
              </w:rPr>
            </w:pPr>
            <w:r>
              <w:rPr>
                <w:rFonts w:hint="eastAsia" w:ascii="宋体" w:hAnsi="宋体"/>
                <w:sz w:val="24"/>
              </w:rPr>
              <w:t>□是□否□</w:t>
            </w:r>
            <w:r>
              <w:rPr>
                <w:rFonts w:hint="eastAsia"/>
                <w:sz w:val="24"/>
              </w:rPr>
              <w:t>NA</w:t>
            </w:r>
          </w:p>
        </w:tc>
      </w:tr>
      <w:tr w14:paraId="1C4F6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57880BAB">
            <w:pPr>
              <w:rPr>
                <w:rFonts w:ascii="宋体" w:hAnsi="宋体"/>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6</w:t>
            </w:r>
            <w:r>
              <w:rPr>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药物临床试验项目资料文件应当保存完整，并及时归档，档案由专人管理。</w:t>
            </w:r>
          </w:p>
        </w:tc>
        <w:tc>
          <w:tcPr>
            <w:tcW w:w="1843" w:type="dxa"/>
            <w:vAlign w:val="center"/>
          </w:tcPr>
          <w:p w14:paraId="779EB4BA">
            <w:pPr>
              <w:jc w:val="center"/>
              <w:rPr>
                <w:rFonts w:ascii="宋体" w:hAnsi="宋体"/>
                <w:sz w:val="24"/>
              </w:rPr>
            </w:pPr>
            <w:r>
              <w:rPr>
                <w:rFonts w:hint="eastAsia" w:ascii="宋体" w:hAnsi="宋体"/>
                <w:sz w:val="24"/>
              </w:rPr>
              <w:t>□是□否□</w:t>
            </w:r>
            <w:r>
              <w:rPr>
                <w:rFonts w:hint="eastAsia"/>
                <w:sz w:val="24"/>
              </w:rPr>
              <w:t>NA</w:t>
            </w:r>
          </w:p>
        </w:tc>
      </w:tr>
      <w:tr w14:paraId="6121F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vAlign w:val="center"/>
          </w:tcPr>
          <w:p w14:paraId="2BEC0475">
            <w:pPr>
              <w:rPr>
                <w:rFonts w:ascii="宋体" w:hAnsi="宋体"/>
                <w:color w:val="000000" w:themeColor="text1"/>
                <w:sz w:val="24"/>
                <w14:textFill>
                  <w14:solidFill>
                    <w14:schemeClr w14:val="tx1"/>
                  </w14:solidFill>
                </w14:textFill>
              </w:rPr>
            </w:pPr>
            <w:r>
              <w:rPr>
                <w:color w:val="000000" w:themeColor="text1"/>
                <w:sz w:val="24"/>
                <w14:textFill>
                  <w14:solidFill>
                    <w14:schemeClr w14:val="tx1"/>
                  </w14:solidFill>
                </w14:textFill>
              </w:rPr>
              <w:t>3.3.</w:t>
            </w:r>
            <w:r>
              <w:rPr>
                <w:rFonts w:hint="eastAsia"/>
                <w:color w:val="000000" w:themeColor="text1"/>
                <w:sz w:val="24"/>
                <w14:textFill>
                  <w14:solidFill>
                    <w14:schemeClr w14:val="tx1"/>
                  </w14:solidFill>
                </w14:textFill>
              </w:rPr>
              <w:t>7.</w:t>
            </w:r>
            <w:r>
              <w:rPr>
                <w:rFonts w:hint="eastAsia" w:ascii="宋体" w:hAnsi="宋体"/>
                <w:color w:val="000000" w:themeColor="text1"/>
                <w:sz w:val="24"/>
                <w14:textFill>
                  <w14:solidFill>
                    <w14:schemeClr w14:val="tx1"/>
                  </w14:solidFill>
                </w14:textFill>
              </w:rPr>
              <w:t>数据库锁定、锁定后的解锁和再锁定应当事先规定并详细说明其条件和流程，锁定后的解锁应符合规定流程并保留相关记录</w:t>
            </w:r>
          </w:p>
        </w:tc>
        <w:tc>
          <w:tcPr>
            <w:tcW w:w="1843" w:type="dxa"/>
            <w:vAlign w:val="center"/>
          </w:tcPr>
          <w:p w14:paraId="26DB7345">
            <w:pPr>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□是□否□</w:t>
            </w:r>
            <w:r>
              <w:rPr>
                <w:rFonts w:hint="eastAsia"/>
                <w:color w:val="000000" w:themeColor="text1"/>
                <w:sz w:val="24"/>
                <w14:textFill>
                  <w14:solidFill>
                    <w14:schemeClr w14:val="tx1"/>
                  </w14:solidFill>
                </w14:textFill>
              </w:rPr>
              <w:t>NA</w:t>
            </w:r>
          </w:p>
        </w:tc>
      </w:tr>
      <w:tr w14:paraId="507DB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3308A50F">
            <w:pPr>
              <w:rPr>
                <w:rFonts w:ascii="宋体" w:hAnsi="宋体"/>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8</w:t>
            </w:r>
            <w:r>
              <w:rPr>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给药、生物样品采集、实验室检查、生命体征检查、体格检查、心电图检查、饮食饮水等临床试验操作应按照临床试验方案、</w:t>
            </w:r>
            <w:r>
              <w:rPr>
                <w:rFonts w:hint="eastAsia"/>
                <w:color w:val="000000" w:themeColor="text1"/>
                <w:sz w:val="24"/>
                <w14:textFill>
                  <w14:solidFill>
                    <w14:schemeClr w14:val="tx1"/>
                  </w14:solidFill>
                </w14:textFill>
              </w:rPr>
              <w:t>SOP</w:t>
            </w:r>
            <w:r>
              <w:rPr>
                <w:rFonts w:hint="eastAsia" w:ascii="宋体" w:hAnsi="宋体"/>
                <w:color w:val="000000" w:themeColor="text1"/>
                <w:sz w:val="24"/>
                <w14:textFill>
                  <w14:solidFill>
                    <w14:schemeClr w14:val="tx1"/>
                  </w14:solidFill>
                </w14:textFill>
              </w:rPr>
              <w:t>等要求执行，采取措施保证关键步骤实施的准确性，并保存相关记录</w:t>
            </w:r>
          </w:p>
        </w:tc>
        <w:tc>
          <w:tcPr>
            <w:tcW w:w="1843" w:type="dxa"/>
            <w:vAlign w:val="center"/>
          </w:tcPr>
          <w:p w14:paraId="57A9303B">
            <w:pPr>
              <w:jc w:val="center"/>
              <w:rPr>
                <w:rFonts w:ascii="宋体" w:hAnsi="宋体"/>
                <w:sz w:val="24"/>
              </w:rPr>
            </w:pPr>
            <w:r>
              <w:rPr>
                <w:rFonts w:hint="eastAsia" w:ascii="宋体" w:hAnsi="宋体"/>
                <w:sz w:val="24"/>
              </w:rPr>
              <w:t>□是□否□</w:t>
            </w:r>
            <w:r>
              <w:rPr>
                <w:rFonts w:hint="eastAsia"/>
                <w:sz w:val="24"/>
              </w:rPr>
              <w:t>NA</w:t>
            </w:r>
          </w:p>
        </w:tc>
      </w:tr>
      <w:tr w14:paraId="15BB1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44CDD55C">
            <w:pPr>
              <w:rPr>
                <w:rFonts w:ascii="宋体" w:hAnsi="宋体"/>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3.3.9.</w:t>
            </w:r>
            <w:r>
              <w:rPr>
                <w:rFonts w:hint="eastAsia"/>
              </w:rPr>
              <w:t xml:space="preserve"> </w:t>
            </w:r>
            <w:r>
              <w:rPr>
                <w:rFonts w:hint="eastAsia" w:ascii="宋体" w:hAnsi="宋体"/>
                <w:color w:val="000000" w:themeColor="text1"/>
                <w:sz w:val="24"/>
                <w14:textFill>
                  <w14:solidFill>
                    <w14:schemeClr w14:val="tx1"/>
                  </w14:solidFill>
                </w14:textFill>
              </w:rPr>
              <w:t>与主要疗效指标相关的原始数据保存完整（靶病灶评估需保存相关测量数据图）， 相关影像学数据需刻盘保存</w:t>
            </w:r>
          </w:p>
        </w:tc>
        <w:tc>
          <w:tcPr>
            <w:tcW w:w="1843" w:type="dxa"/>
            <w:vAlign w:val="center"/>
          </w:tcPr>
          <w:p w14:paraId="4B240FDF">
            <w:pPr>
              <w:jc w:val="center"/>
              <w:rPr>
                <w:rFonts w:ascii="宋体" w:hAnsi="宋体"/>
                <w:sz w:val="24"/>
              </w:rPr>
            </w:pPr>
            <w:r>
              <w:rPr>
                <w:rFonts w:hint="eastAsia" w:ascii="宋体" w:hAnsi="宋体"/>
                <w:sz w:val="24"/>
              </w:rPr>
              <w:t>□是□否□</w:t>
            </w:r>
            <w:r>
              <w:rPr>
                <w:rFonts w:hint="eastAsia"/>
                <w:sz w:val="24"/>
              </w:rPr>
              <w:t>NA</w:t>
            </w:r>
          </w:p>
        </w:tc>
      </w:tr>
      <w:tr w14:paraId="08E92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vAlign w:val="center"/>
          </w:tcPr>
          <w:p w14:paraId="6C0E6D65">
            <w:pPr>
              <w:rPr>
                <w:rFonts w:ascii="宋体" w:hAnsi="宋体"/>
                <w:color w:val="000000"/>
                <w:sz w:val="24"/>
              </w:rPr>
            </w:pPr>
            <w:r>
              <w:rPr>
                <w:rFonts w:hint="eastAsia"/>
                <w:color w:val="000000"/>
                <w:sz w:val="24"/>
              </w:rPr>
              <w:t>3.3.10</w:t>
            </w:r>
            <w:r>
              <w:rPr>
                <w:rFonts w:hint="eastAsia" w:ascii="宋体" w:hAnsi="宋体"/>
                <w:color w:val="000000"/>
                <w:sz w:val="24"/>
              </w:rPr>
              <w:t>应具有监查记录，研究人员是否对监查发现的问题及时采取改正措施</w:t>
            </w:r>
          </w:p>
        </w:tc>
        <w:tc>
          <w:tcPr>
            <w:tcW w:w="1843" w:type="dxa"/>
            <w:vAlign w:val="center"/>
          </w:tcPr>
          <w:p w14:paraId="660E1D04">
            <w:pPr>
              <w:jc w:val="center"/>
              <w:rPr>
                <w:rFonts w:ascii="宋体" w:hAnsi="宋体"/>
                <w:sz w:val="24"/>
              </w:rPr>
            </w:pPr>
            <w:r>
              <w:rPr>
                <w:rFonts w:hint="eastAsia" w:ascii="宋体" w:hAnsi="宋体"/>
                <w:sz w:val="24"/>
              </w:rPr>
              <w:t>□是□否□</w:t>
            </w:r>
            <w:r>
              <w:rPr>
                <w:rFonts w:hint="eastAsia"/>
                <w:sz w:val="24"/>
              </w:rPr>
              <w:t>NA</w:t>
            </w:r>
          </w:p>
        </w:tc>
      </w:tr>
      <w:tr w14:paraId="2EC72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11718724">
            <w:pPr>
              <w:rPr>
                <w:rFonts w:ascii="宋体" w:hAnsi="宋体"/>
                <w:color w:val="000000" w:themeColor="text1"/>
                <w:sz w:val="24"/>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四</w:t>
            </w:r>
            <w:r>
              <w:rPr>
                <w:rFonts w:ascii="宋体" w:hAnsi="宋体"/>
                <w:b/>
                <w:bCs/>
                <w:color w:val="000000" w:themeColor="text1"/>
                <w:sz w:val="28"/>
                <w:szCs w:val="28"/>
                <w14:textFill>
                  <w14:solidFill>
                    <w14:schemeClr w14:val="tx1"/>
                  </w14:solidFill>
                </w14:textFill>
              </w:rPr>
              <w:t>.</w:t>
            </w:r>
            <w:r>
              <w:rPr>
                <w:rFonts w:hint="eastAsia" w:ascii="宋体" w:hAnsi="宋体"/>
                <w:b/>
                <w:bCs/>
                <w:color w:val="000000" w:themeColor="text1"/>
                <w:sz w:val="28"/>
                <w:szCs w:val="28"/>
                <w14:textFill>
                  <w14:solidFill>
                    <w14:schemeClr w14:val="tx1"/>
                  </w14:solidFill>
                </w14:textFill>
              </w:rPr>
              <w:t xml:space="preserve"> 安全性指标的处置、记录与报告</w:t>
            </w:r>
          </w:p>
        </w:tc>
        <w:tc>
          <w:tcPr>
            <w:tcW w:w="1843" w:type="dxa"/>
            <w:vAlign w:val="center"/>
          </w:tcPr>
          <w:p w14:paraId="26E187C9">
            <w:pPr>
              <w:jc w:val="center"/>
              <w:rPr>
                <w:rFonts w:ascii="宋体" w:hAnsi="宋体"/>
                <w:sz w:val="24"/>
              </w:rPr>
            </w:pPr>
          </w:p>
        </w:tc>
      </w:tr>
      <w:tr w14:paraId="0A46F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vAlign w:val="center"/>
          </w:tcPr>
          <w:p w14:paraId="61378126">
            <w:pPr>
              <w:rPr>
                <w:rFonts w:ascii="宋体" w:hAnsi="宋体"/>
                <w:sz w:val="24"/>
              </w:rPr>
            </w:pPr>
            <w:r>
              <w:rPr>
                <w:sz w:val="24"/>
              </w:rPr>
              <w:t>4.1</w:t>
            </w:r>
            <w:r>
              <w:rPr>
                <w:rFonts w:hint="eastAsia"/>
                <w:sz w:val="24"/>
              </w:rPr>
              <w:t>.</w:t>
            </w:r>
            <w:r>
              <w:rPr>
                <w:rFonts w:hint="eastAsia" w:ascii="宋体" w:hAnsi="宋体"/>
                <w:sz w:val="24"/>
              </w:rPr>
              <w:t>对受试者的相关医学判断和处理须由具有执业资格的研究者执行并记录</w:t>
            </w:r>
          </w:p>
        </w:tc>
        <w:tc>
          <w:tcPr>
            <w:tcW w:w="1843" w:type="dxa"/>
            <w:vAlign w:val="center"/>
          </w:tcPr>
          <w:p w14:paraId="660A86DD">
            <w:pPr>
              <w:jc w:val="center"/>
              <w:rPr>
                <w:rFonts w:ascii="宋体" w:hAnsi="宋体"/>
                <w:sz w:val="24"/>
              </w:rPr>
            </w:pPr>
            <w:r>
              <w:rPr>
                <w:rFonts w:hint="eastAsia" w:ascii="宋体" w:hAnsi="宋体"/>
                <w:sz w:val="24"/>
              </w:rPr>
              <w:t>□是□否□</w:t>
            </w:r>
            <w:r>
              <w:rPr>
                <w:rFonts w:hint="eastAsia"/>
                <w:sz w:val="24"/>
              </w:rPr>
              <w:t>NA</w:t>
            </w:r>
          </w:p>
        </w:tc>
      </w:tr>
      <w:tr w14:paraId="5FECA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vAlign w:val="center"/>
          </w:tcPr>
          <w:p w14:paraId="4570757F">
            <w:pPr>
              <w:rPr>
                <w:rFonts w:ascii="宋体" w:hAnsi="宋体"/>
                <w:sz w:val="24"/>
              </w:rPr>
            </w:pPr>
            <w:r>
              <w:rPr>
                <w:sz w:val="24"/>
              </w:rPr>
              <w:t>4.2.</w:t>
            </w:r>
            <w:r>
              <w:rPr>
                <w:rFonts w:ascii="宋体" w:hAnsi="宋体"/>
                <w:sz w:val="24"/>
              </w:rPr>
              <w:t xml:space="preserve"> </w:t>
            </w:r>
            <w:r>
              <w:rPr>
                <w:rFonts w:hint="eastAsia" w:ascii="宋体" w:hAnsi="宋体"/>
                <w:sz w:val="24"/>
              </w:rPr>
              <w:t>不良事件的记录与相关性判定符合方案要求，并给予及时、合理的处理</w:t>
            </w:r>
          </w:p>
        </w:tc>
        <w:tc>
          <w:tcPr>
            <w:tcW w:w="1843" w:type="dxa"/>
            <w:vAlign w:val="center"/>
          </w:tcPr>
          <w:p w14:paraId="75907B3D">
            <w:pPr>
              <w:jc w:val="center"/>
              <w:rPr>
                <w:rFonts w:ascii="宋体" w:hAnsi="宋体"/>
                <w:sz w:val="24"/>
              </w:rPr>
            </w:pPr>
            <w:r>
              <w:rPr>
                <w:rFonts w:hint="eastAsia" w:ascii="宋体" w:hAnsi="宋体"/>
                <w:sz w:val="24"/>
              </w:rPr>
              <w:t>□是□否□</w:t>
            </w:r>
            <w:r>
              <w:rPr>
                <w:rFonts w:hint="eastAsia"/>
                <w:sz w:val="24"/>
              </w:rPr>
              <w:t>NA</w:t>
            </w:r>
          </w:p>
        </w:tc>
      </w:tr>
      <w:tr w14:paraId="76042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vAlign w:val="center"/>
          </w:tcPr>
          <w:p w14:paraId="1682B6F6">
            <w:pPr>
              <w:rPr>
                <w:rFonts w:ascii="宋体" w:hAnsi="宋体"/>
                <w:sz w:val="24"/>
              </w:rPr>
            </w:pPr>
            <w:r>
              <w:rPr>
                <w:sz w:val="24"/>
              </w:rPr>
              <w:t>4.</w:t>
            </w:r>
            <w:r>
              <w:rPr>
                <w:rFonts w:hint="eastAsia"/>
                <w:sz w:val="24"/>
              </w:rPr>
              <w:t>3</w:t>
            </w:r>
            <w:r>
              <w:rPr>
                <w:sz w:val="24"/>
              </w:rPr>
              <w:t>.</w:t>
            </w:r>
            <w:r>
              <w:rPr>
                <w:rFonts w:hint="eastAsia" w:ascii="宋体" w:hAnsi="宋体"/>
                <w:sz w:val="24"/>
              </w:rPr>
              <w:t>除试验方案或者其他文件（如研究者手册）中规定不需立即报告的</w:t>
            </w:r>
            <w:r>
              <w:rPr>
                <w:rFonts w:hint="eastAsia"/>
                <w:sz w:val="24"/>
              </w:rPr>
              <w:t>SAE</w:t>
            </w:r>
            <w:r>
              <w:rPr>
                <w:rFonts w:hint="eastAsia" w:ascii="宋体" w:hAnsi="宋体"/>
                <w:sz w:val="24"/>
              </w:rPr>
              <w:t>外，研究者应当在规定时限内向药物临床试验机构、伦理委员会、申办方书面报告所有</w:t>
            </w:r>
            <w:r>
              <w:rPr>
                <w:rFonts w:hint="eastAsia"/>
                <w:sz w:val="24"/>
              </w:rPr>
              <w:t>SAE</w:t>
            </w:r>
            <w:r>
              <w:rPr>
                <w:rFonts w:hint="eastAsia" w:ascii="宋体" w:hAnsi="宋体"/>
                <w:sz w:val="24"/>
              </w:rPr>
              <w:t>，随后应当及时提供详尽、书面的随访报告</w:t>
            </w:r>
          </w:p>
        </w:tc>
        <w:tc>
          <w:tcPr>
            <w:tcW w:w="1843" w:type="dxa"/>
            <w:vAlign w:val="center"/>
          </w:tcPr>
          <w:p w14:paraId="417DDBFA">
            <w:pPr>
              <w:jc w:val="center"/>
              <w:rPr>
                <w:rFonts w:ascii="宋体" w:hAnsi="宋体"/>
                <w:sz w:val="24"/>
              </w:rPr>
            </w:pPr>
            <w:r>
              <w:rPr>
                <w:rFonts w:hint="eastAsia" w:ascii="宋体" w:hAnsi="宋体"/>
                <w:sz w:val="24"/>
              </w:rPr>
              <w:t>□是□否□</w:t>
            </w:r>
            <w:r>
              <w:rPr>
                <w:rFonts w:hint="eastAsia"/>
                <w:sz w:val="24"/>
              </w:rPr>
              <w:t>NA</w:t>
            </w:r>
          </w:p>
        </w:tc>
      </w:tr>
      <w:tr w14:paraId="44919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7366" w:type="dxa"/>
          </w:tcPr>
          <w:p w14:paraId="3380616E">
            <w:pPr>
              <w:rPr>
                <w:rFonts w:ascii="宋体" w:hAnsi="宋体"/>
                <w:b/>
                <w:bCs/>
                <w:sz w:val="28"/>
                <w:szCs w:val="28"/>
              </w:rPr>
            </w:pPr>
            <w:r>
              <w:rPr>
                <w:rFonts w:hint="eastAsia" w:ascii="宋体" w:hAnsi="宋体"/>
                <w:b/>
                <w:bCs/>
                <w:sz w:val="28"/>
                <w:szCs w:val="28"/>
              </w:rPr>
              <w:t>五、试验用药物管理</w:t>
            </w:r>
          </w:p>
        </w:tc>
        <w:tc>
          <w:tcPr>
            <w:tcW w:w="1843" w:type="dxa"/>
            <w:vAlign w:val="center"/>
          </w:tcPr>
          <w:p w14:paraId="5B007018">
            <w:pPr>
              <w:jc w:val="center"/>
              <w:rPr>
                <w:rFonts w:ascii="宋体" w:hAnsi="宋体"/>
                <w:color w:val="000000"/>
                <w:szCs w:val="21"/>
              </w:rPr>
            </w:pPr>
          </w:p>
        </w:tc>
      </w:tr>
      <w:tr w14:paraId="159E0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7366" w:type="dxa"/>
            <w:vAlign w:val="center"/>
          </w:tcPr>
          <w:p w14:paraId="0F527FAA">
            <w:pPr>
              <w:rPr>
                <w:rFonts w:ascii="宋体" w:hAnsi="宋体"/>
                <w:sz w:val="24"/>
              </w:rPr>
            </w:pPr>
            <w:r>
              <w:rPr>
                <w:sz w:val="24"/>
              </w:rPr>
              <w:t>5.1.</w:t>
            </w:r>
            <w:r>
              <w:rPr>
                <w:rFonts w:hint="eastAsia" w:ascii="宋体" w:hAnsi="宋体"/>
                <w:sz w:val="24"/>
              </w:rPr>
              <w:t>所有申办方提供的试验用药品（含生理盐水、灭菌用水等）有来源证明、检验报告、在</w:t>
            </w:r>
            <w:r>
              <w:rPr>
                <w:rFonts w:hint="eastAsia"/>
                <w:sz w:val="24"/>
              </w:rPr>
              <w:t>GMP</w:t>
            </w:r>
            <w:r>
              <w:rPr>
                <w:rFonts w:hint="eastAsia" w:ascii="宋体" w:hAnsi="宋体"/>
                <w:sz w:val="24"/>
              </w:rPr>
              <w:t>条件下生产等文件，批号与伦理备案一致</w:t>
            </w:r>
          </w:p>
        </w:tc>
        <w:tc>
          <w:tcPr>
            <w:tcW w:w="1843" w:type="dxa"/>
            <w:vAlign w:val="center"/>
          </w:tcPr>
          <w:p w14:paraId="4425A580">
            <w:pPr>
              <w:jc w:val="center"/>
              <w:rPr>
                <w:rFonts w:ascii="宋体" w:hAnsi="宋体"/>
                <w:sz w:val="24"/>
              </w:rPr>
            </w:pPr>
            <w:r>
              <w:rPr>
                <w:rFonts w:hint="eastAsia" w:ascii="宋体" w:hAnsi="宋体"/>
                <w:sz w:val="24"/>
              </w:rPr>
              <w:t>□是□否□</w:t>
            </w:r>
            <w:r>
              <w:rPr>
                <w:rFonts w:hint="eastAsia"/>
                <w:sz w:val="24"/>
              </w:rPr>
              <w:t>NA</w:t>
            </w:r>
          </w:p>
        </w:tc>
      </w:tr>
      <w:tr w14:paraId="69F52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7366" w:type="dxa"/>
            <w:vAlign w:val="center"/>
          </w:tcPr>
          <w:p w14:paraId="2D7B6BDB">
            <w:pPr>
              <w:rPr>
                <w:rFonts w:ascii="宋体" w:hAnsi="宋体"/>
                <w:sz w:val="24"/>
              </w:rPr>
            </w:pPr>
            <w:r>
              <w:rPr>
                <w:sz w:val="24"/>
              </w:rPr>
              <w:t>5.2</w:t>
            </w:r>
            <w:r>
              <w:rPr>
                <w:rFonts w:hint="eastAsia"/>
                <w:sz w:val="24"/>
              </w:rPr>
              <w:t>.</w:t>
            </w:r>
            <w:r>
              <w:rPr>
                <w:rFonts w:hint="eastAsia" w:ascii="宋体" w:hAnsi="宋体"/>
                <w:sz w:val="24"/>
              </w:rPr>
              <w:t>研究者授权专人负责试验用药品管理，发放、领取、配置、使用、回收、销毁各环节的时间、批号、编号（序列号）、有效期、数量、操作人签名等信息齐全</w:t>
            </w:r>
          </w:p>
        </w:tc>
        <w:tc>
          <w:tcPr>
            <w:tcW w:w="1843" w:type="dxa"/>
            <w:vAlign w:val="center"/>
          </w:tcPr>
          <w:p w14:paraId="17199894">
            <w:pPr>
              <w:jc w:val="center"/>
              <w:rPr>
                <w:rFonts w:ascii="宋体" w:hAnsi="宋体"/>
                <w:sz w:val="24"/>
              </w:rPr>
            </w:pPr>
            <w:r>
              <w:rPr>
                <w:rFonts w:hint="eastAsia" w:ascii="宋体" w:hAnsi="宋体"/>
                <w:sz w:val="24"/>
              </w:rPr>
              <w:t>□是□否□</w:t>
            </w:r>
            <w:r>
              <w:rPr>
                <w:rFonts w:hint="eastAsia"/>
                <w:sz w:val="24"/>
              </w:rPr>
              <w:t>NA</w:t>
            </w:r>
          </w:p>
        </w:tc>
      </w:tr>
      <w:tr w14:paraId="3E354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7366" w:type="dxa"/>
            <w:vAlign w:val="center"/>
          </w:tcPr>
          <w:p w14:paraId="220A61D7">
            <w:pPr>
              <w:rPr>
                <w:rFonts w:ascii="宋体" w:hAnsi="宋体"/>
                <w:sz w:val="24"/>
              </w:rPr>
            </w:pPr>
            <w:r>
              <w:rPr>
                <w:rFonts w:hint="eastAsia"/>
                <w:sz w:val="24"/>
              </w:rPr>
              <w:t>5.3.</w:t>
            </w:r>
            <w:r>
              <w:rPr>
                <w:rFonts w:hint="eastAsia" w:ascii="宋体" w:hAnsi="宋体"/>
                <w:sz w:val="24"/>
              </w:rPr>
              <w:t>试验用药品的运输和贮存过程符合方案及药物手册等</w:t>
            </w:r>
            <w:r>
              <w:rPr>
                <w:rFonts w:hint="eastAsia"/>
                <w:sz w:val="24"/>
              </w:rPr>
              <w:t>SOP</w:t>
            </w:r>
            <w:r>
              <w:rPr>
                <w:rFonts w:hint="eastAsia" w:ascii="宋体" w:hAnsi="宋体"/>
                <w:sz w:val="24"/>
              </w:rPr>
              <w:t>文件的要求，异常情况（如温度湿度失控）及时处理并通过支持性文件/（如稳定性数据）评估是否可继续使用，并将超温情况及时上报至</w:t>
            </w:r>
            <w:r>
              <w:rPr>
                <w:rFonts w:hint="eastAsia"/>
                <w:sz w:val="24"/>
              </w:rPr>
              <w:t>CTC</w:t>
            </w:r>
            <w:r>
              <w:rPr>
                <w:rFonts w:hint="eastAsia" w:ascii="宋体" w:hAnsi="宋体"/>
                <w:sz w:val="24"/>
              </w:rPr>
              <w:t>和伦理委员会</w:t>
            </w:r>
          </w:p>
        </w:tc>
        <w:tc>
          <w:tcPr>
            <w:tcW w:w="1843" w:type="dxa"/>
            <w:vAlign w:val="center"/>
          </w:tcPr>
          <w:p w14:paraId="3848F96F">
            <w:pPr>
              <w:jc w:val="center"/>
              <w:rPr>
                <w:rFonts w:ascii="宋体" w:hAnsi="宋体"/>
                <w:sz w:val="24"/>
              </w:rPr>
            </w:pPr>
            <w:r>
              <w:rPr>
                <w:rFonts w:hint="eastAsia" w:ascii="宋体" w:hAnsi="宋体"/>
                <w:sz w:val="24"/>
              </w:rPr>
              <w:t>□是□否□</w:t>
            </w:r>
            <w:r>
              <w:rPr>
                <w:rFonts w:hint="eastAsia"/>
                <w:sz w:val="24"/>
              </w:rPr>
              <w:t>NA</w:t>
            </w:r>
          </w:p>
        </w:tc>
      </w:tr>
      <w:tr w14:paraId="5F20B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17FDD512">
            <w:pPr>
              <w:rPr>
                <w:rFonts w:ascii="宋体" w:hAnsi="宋体"/>
                <w:b/>
                <w:bCs/>
                <w:sz w:val="28"/>
                <w:szCs w:val="28"/>
              </w:rPr>
            </w:pPr>
            <w:r>
              <w:rPr>
                <w:rFonts w:hint="eastAsia" w:ascii="宋体" w:hAnsi="宋体"/>
                <w:b/>
                <w:bCs/>
                <w:sz w:val="28"/>
                <w:szCs w:val="28"/>
              </w:rPr>
              <w:t>六、生物样品的管理</w:t>
            </w:r>
          </w:p>
        </w:tc>
        <w:tc>
          <w:tcPr>
            <w:tcW w:w="1843" w:type="dxa"/>
            <w:vAlign w:val="center"/>
          </w:tcPr>
          <w:p w14:paraId="3F8C831B">
            <w:pPr>
              <w:jc w:val="center"/>
              <w:rPr>
                <w:rFonts w:ascii="宋体" w:hAnsi="宋体"/>
                <w:color w:val="000000"/>
                <w:szCs w:val="21"/>
              </w:rPr>
            </w:pPr>
          </w:p>
        </w:tc>
      </w:tr>
      <w:tr w14:paraId="667AD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50C7DACB">
            <w:pPr>
              <w:rPr>
                <w:rFonts w:ascii="宋体" w:hAnsi="宋体"/>
                <w:b/>
                <w:bCs/>
                <w:sz w:val="28"/>
                <w:szCs w:val="28"/>
              </w:rPr>
            </w:pPr>
            <w:r>
              <w:rPr>
                <w:rFonts w:hint="eastAsia"/>
                <w:sz w:val="24"/>
              </w:rPr>
              <w:t>6</w:t>
            </w:r>
            <w:r>
              <w:rPr>
                <w:sz w:val="24"/>
              </w:rPr>
              <w:t>.1.</w:t>
            </w:r>
            <w:r>
              <w:rPr>
                <w:rFonts w:hint="eastAsia" w:ascii="宋体" w:hAnsi="宋体"/>
                <w:sz w:val="24"/>
              </w:rPr>
              <w:t>生物样品采集、处理、贮存、转运、寄送等各环节的管理应当遵守药物临床试验方案和实验室手册等</w:t>
            </w:r>
            <w:r>
              <w:rPr>
                <w:rFonts w:hint="eastAsia"/>
                <w:sz w:val="24"/>
              </w:rPr>
              <w:t>SOP</w:t>
            </w:r>
            <w:r>
              <w:rPr>
                <w:rFonts w:hint="eastAsia" w:ascii="宋体" w:hAnsi="宋体"/>
                <w:sz w:val="24"/>
              </w:rPr>
              <w:t>规定并保存记录。核实各环节时间、数量、操作人等信息的相符性</w:t>
            </w:r>
            <w:r>
              <w:rPr>
                <w:rFonts w:ascii="宋体" w:hAnsi="宋体"/>
                <w:b/>
                <w:bCs/>
                <w:sz w:val="28"/>
                <w:szCs w:val="28"/>
              </w:rPr>
              <w:t xml:space="preserve"> </w:t>
            </w:r>
          </w:p>
        </w:tc>
        <w:tc>
          <w:tcPr>
            <w:tcW w:w="1843" w:type="dxa"/>
            <w:vAlign w:val="center"/>
          </w:tcPr>
          <w:p w14:paraId="587A14D2">
            <w:pPr>
              <w:jc w:val="center"/>
              <w:rPr>
                <w:rFonts w:ascii="宋体" w:hAnsi="宋体"/>
                <w:color w:val="000000"/>
                <w:szCs w:val="21"/>
              </w:rPr>
            </w:pPr>
            <w:r>
              <w:rPr>
                <w:rFonts w:hint="eastAsia" w:ascii="宋体" w:hAnsi="宋体"/>
                <w:sz w:val="24"/>
              </w:rPr>
              <w:t>□是□否□</w:t>
            </w:r>
            <w:r>
              <w:rPr>
                <w:rFonts w:hint="eastAsia"/>
                <w:sz w:val="24"/>
              </w:rPr>
              <w:t>NA</w:t>
            </w:r>
          </w:p>
        </w:tc>
      </w:tr>
      <w:tr w14:paraId="0BCFB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734BA6AE">
            <w:pPr>
              <w:rPr>
                <w:rFonts w:ascii="宋体" w:hAnsi="宋体"/>
                <w:b/>
                <w:bCs/>
                <w:sz w:val="28"/>
                <w:szCs w:val="28"/>
              </w:rPr>
            </w:pPr>
            <w:r>
              <w:rPr>
                <w:rFonts w:hint="eastAsia" w:cs="楷体_GB2312"/>
                <w:sz w:val="24"/>
              </w:rPr>
              <w:t>6</w:t>
            </w:r>
            <w:r>
              <w:rPr>
                <w:rFonts w:cs="楷体_GB2312"/>
                <w:sz w:val="24"/>
              </w:rPr>
              <w:t>.</w:t>
            </w:r>
            <w:r>
              <w:rPr>
                <w:rFonts w:hint="eastAsia" w:cs="楷体_GB2312"/>
                <w:sz w:val="24"/>
              </w:rPr>
              <w:t>2</w:t>
            </w:r>
            <w:r>
              <w:rPr>
                <w:rFonts w:cs="楷体_GB2312"/>
                <w:sz w:val="24"/>
              </w:rPr>
              <w:t>.</w:t>
            </w:r>
            <w:r>
              <w:rPr>
                <w:rFonts w:hint="eastAsia" w:ascii="宋体" w:hAnsi="宋体" w:cs="楷体_GB2312"/>
                <w:sz w:val="24"/>
              </w:rPr>
              <w:t>样本容器的标识应易于识别和具有唯一性，且不泄露受试者隐私</w:t>
            </w:r>
          </w:p>
        </w:tc>
        <w:tc>
          <w:tcPr>
            <w:tcW w:w="1843" w:type="dxa"/>
            <w:vAlign w:val="center"/>
          </w:tcPr>
          <w:p w14:paraId="5395EA59">
            <w:pPr>
              <w:jc w:val="center"/>
              <w:rPr>
                <w:rFonts w:ascii="宋体" w:hAnsi="宋体"/>
                <w:color w:val="000000"/>
                <w:szCs w:val="21"/>
              </w:rPr>
            </w:pPr>
            <w:r>
              <w:rPr>
                <w:rFonts w:hint="eastAsia" w:ascii="宋体" w:hAnsi="宋体"/>
                <w:sz w:val="24"/>
              </w:rPr>
              <w:t>□是□否□</w:t>
            </w:r>
            <w:r>
              <w:rPr>
                <w:rFonts w:hint="eastAsia"/>
                <w:sz w:val="24"/>
              </w:rPr>
              <w:t>NA</w:t>
            </w:r>
          </w:p>
        </w:tc>
      </w:tr>
      <w:tr w14:paraId="72198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59C7717D">
            <w:pPr>
              <w:rPr>
                <w:rFonts w:ascii="宋体" w:hAnsi="宋体"/>
                <w:b/>
                <w:bCs/>
                <w:sz w:val="28"/>
                <w:szCs w:val="28"/>
              </w:rPr>
            </w:pPr>
            <w:r>
              <w:rPr>
                <w:rFonts w:hint="eastAsia"/>
                <w:color w:val="000000"/>
                <w:sz w:val="24"/>
              </w:rPr>
              <w:t>6</w:t>
            </w:r>
            <w:r>
              <w:rPr>
                <w:color w:val="000000"/>
                <w:sz w:val="24"/>
              </w:rPr>
              <w:t>.</w:t>
            </w:r>
            <w:r>
              <w:rPr>
                <w:rFonts w:hint="eastAsia"/>
                <w:color w:val="000000"/>
                <w:sz w:val="24"/>
              </w:rPr>
              <w:t>3</w:t>
            </w:r>
            <w:r>
              <w:rPr>
                <w:color w:val="000000"/>
                <w:sz w:val="24"/>
              </w:rPr>
              <w:t>.</w:t>
            </w:r>
            <w:r>
              <w:rPr>
                <w:rFonts w:hint="eastAsia" w:ascii="宋体" w:hAnsi="宋体"/>
                <w:color w:val="000000"/>
                <w:sz w:val="24"/>
              </w:rPr>
              <w:t>生物样品管理各环节的异常情况应当及时评估处理、记录，若有必要，应及时向</w:t>
            </w:r>
            <w:r>
              <w:rPr>
                <w:rFonts w:hint="eastAsia"/>
                <w:color w:val="000000"/>
                <w:sz w:val="24"/>
              </w:rPr>
              <w:t>CTC</w:t>
            </w:r>
            <w:r>
              <w:rPr>
                <w:rFonts w:hint="eastAsia" w:ascii="宋体" w:hAnsi="宋体"/>
                <w:color w:val="000000"/>
                <w:sz w:val="24"/>
              </w:rPr>
              <w:t>和伦理委员会报告</w:t>
            </w:r>
            <w:r>
              <w:rPr>
                <w:rFonts w:hint="eastAsia"/>
                <w:color w:val="000000"/>
                <w:sz w:val="24"/>
              </w:rPr>
              <w:t>PD</w:t>
            </w:r>
          </w:p>
        </w:tc>
        <w:tc>
          <w:tcPr>
            <w:tcW w:w="1843" w:type="dxa"/>
            <w:vAlign w:val="center"/>
          </w:tcPr>
          <w:p w14:paraId="011AD8C2">
            <w:pPr>
              <w:jc w:val="center"/>
              <w:rPr>
                <w:rFonts w:ascii="宋体" w:hAnsi="宋体"/>
                <w:color w:val="000000"/>
                <w:szCs w:val="21"/>
              </w:rPr>
            </w:pPr>
            <w:r>
              <w:rPr>
                <w:rFonts w:hint="eastAsia" w:ascii="宋体" w:hAnsi="宋体"/>
                <w:sz w:val="24"/>
              </w:rPr>
              <w:t>□是□否□</w:t>
            </w:r>
            <w:r>
              <w:rPr>
                <w:rFonts w:hint="eastAsia"/>
                <w:sz w:val="24"/>
              </w:rPr>
              <w:t>NA</w:t>
            </w:r>
          </w:p>
        </w:tc>
      </w:tr>
      <w:tr w14:paraId="42091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tcPr>
          <w:p w14:paraId="117A290F">
            <w:pPr>
              <w:rPr>
                <w:rFonts w:ascii="宋体" w:hAnsi="宋体"/>
                <w:color w:val="000000"/>
                <w:sz w:val="24"/>
              </w:rPr>
            </w:pPr>
            <w:r>
              <w:rPr>
                <w:rFonts w:hint="eastAsia"/>
                <w:color w:val="000000"/>
                <w:sz w:val="24"/>
              </w:rPr>
              <w:t>6.4.</w:t>
            </w:r>
            <w:r>
              <w:rPr>
                <w:rFonts w:hint="eastAsia" w:ascii="宋体" w:hAnsi="宋体"/>
                <w:color w:val="000000"/>
                <w:sz w:val="24"/>
              </w:rPr>
              <w:t>生物样本采集/运送总量不应超过遗传办批准总量，采集/运送样本种类均应与遗传办批准的一致</w:t>
            </w:r>
          </w:p>
        </w:tc>
        <w:tc>
          <w:tcPr>
            <w:tcW w:w="1843" w:type="dxa"/>
            <w:vAlign w:val="center"/>
          </w:tcPr>
          <w:p w14:paraId="32D9DEBE">
            <w:pPr>
              <w:jc w:val="center"/>
              <w:rPr>
                <w:rFonts w:ascii="宋体" w:hAnsi="宋体"/>
                <w:sz w:val="24"/>
              </w:rPr>
            </w:pPr>
            <w:r>
              <w:rPr>
                <w:rFonts w:hint="eastAsia" w:ascii="宋体" w:hAnsi="宋体"/>
                <w:sz w:val="24"/>
              </w:rPr>
              <w:t>□是□否□</w:t>
            </w:r>
            <w:r>
              <w:rPr>
                <w:rFonts w:hint="eastAsia"/>
                <w:sz w:val="24"/>
              </w:rPr>
              <w:t>NA</w:t>
            </w:r>
          </w:p>
        </w:tc>
      </w:tr>
      <w:tr w14:paraId="1018B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9209" w:type="dxa"/>
            <w:gridSpan w:val="2"/>
            <w:vAlign w:val="center"/>
          </w:tcPr>
          <w:p w14:paraId="2FA81507">
            <w:pPr>
              <w:jc w:val="left"/>
              <w:rPr>
                <w:rFonts w:ascii="宋体" w:hAnsi="宋体"/>
                <w:color w:val="000000"/>
                <w:szCs w:val="21"/>
              </w:rPr>
            </w:pPr>
            <w:r>
              <w:rPr>
                <w:rFonts w:hint="eastAsia" w:ascii="宋体" w:hAnsi="宋体"/>
                <w:b/>
                <w:bCs/>
                <w:sz w:val="28"/>
                <w:szCs w:val="28"/>
              </w:rPr>
              <w:t>备注：</w:t>
            </w:r>
          </w:p>
        </w:tc>
      </w:tr>
      <w:tr w14:paraId="2F576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9209" w:type="dxa"/>
            <w:gridSpan w:val="2"/>
            <w:vAlign w:val="center"/>
          </w:tcPr>
          <w:p w14:paraId="5480EDA3">
            <w:pPr>
              <w:rPr>
                <w:rFonts w:ascii="宋体" w:hAnsi="宋体"/>
                <w:color w:val="000000"/>
                <w:szCs w:val="21"/>
              </w:rPr>
            </w:pPr>
            <w:r>
              <w:rPr>
                <w:rFonts w:hint="eastAsia" w:ascii="宋体" w:hAnsi="宋体"/>
                <w:color w:val="000000"/>
                <w:sz w:val="24"/>
              </w:rPr>
              <w:t>（</w:t>
            </w:r>
            <w:r>
              <w:rPr>
                <w:rFonts w:hint="eastAsia"/>
                <w:color w:val="000000"/>
                <w:sz w:val="24"/>
              </w:rPr>
              <w:t>1</w:t>
            </w:r>
            <w:r>
              <w:rPr>
                <w:rFonts w:hint="eastAsia" w:ascii="宋体" w:hAnsi="宋体"/>
                <w:color w:val="000000"/>
                <w:sz w:val="24"/>
              </w:rPr>
              <w:t>）源数据：指临床试验中的原始记录或者核证副本上记载的所有信息，包括临床发现、观测结果、以及用于重建和评价临床试验所需要的其他相关活动记录；</w:t>
            </w:r>
          </w:p>
        </w:tc>
      </w:tr>
      <w:tr w14:paraId="52478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9209" w:type="dxa"/>
            <w:gridSpan w:val="2"/>
            <w:vAlign w:val="center"/>
          </w:tcPr>
          <w:p w14:paraId="159C3EC9">
            <w:pPr>
              <w:rPr>
                <w:rFonts w:ascii="宋体" w:hAnsi="宋体"/>
                <w:sz w:val="24"/>
              </w:rPr>
            </w:pPr>
            <w:r>
              <w:rPr>
                <w:rFonts w:hint="eastAsia" w:ascii="宋体" w:hAnsi="宋体"/>
                <w:color w:val="000000"/>
                <w:sz w:val="24"/>
              </w:rPr>
              <w:t>（</w:t>
            </w:r>
            <w:r>
              <w:rPr>
                <w:rFonts w:hint="eastAsia"/>
                <w:color w:val="000000"/>
                <w:sz w:val="24"/>
              </w:rPr>
              <w:t>2</w:t>
            </w:r>
            <w:r>
              <w:rPr>
                <w:rFonts w:hint="eastAsia" w:ascii="宋体" w:hAnsi="宋体"/>
                <w:color w:val="000000"/>
                <w:sz w:val="24"/>
              </w:rPr>
              <w:t>）外部数据：外部收集并将导入至临床试验数据管理系统（</w:t>
            </w:r>
            <w:r>
              <w:rPr>
                <w:color w:val="000000"/>
                <w:sz w:val="24"/>
              </w:rPr>
              <w:t>CDMS</w:t>
            </w:r>
            <w:r>
              <w:rPr>
                <w:rFonts w:ascii="宋体" w:hAnsi="宋体"/>
                <w:color w:val="000000"/>
                <w:sz w:val="24"/>
              </w:rPr>
              <w:t>）的数据，包括所有导入的数据及其文件和用于外部数据质量控制的所有文件。外部数据包括但不限于：生物样本分析数据（实验室数据、药代动力学/药效</w:t>
            </w:r>
            <w:r>
              <w:rPr>
                <w:rFonts w:hint="eastAsia" w:ascii="宋体" w:hAnsi="宋体"/>
                <w:color w:val="000000"/>
                <w:sz w:val="24"/>
              </w:rPr>
              <w:t>学数据、生物标记物的检测数据等）、外部仪器检测数据（血生化、心电图、血流仪、生命体征监测、影像学检查等）、电子日志、交互应答系统的数据、</w:t>
            </w:r>
            <w:r>
              <w:rPr>
                <w:rFonts w:hint="eastAsia"/>
                <w:color w:val="000000"/>
                <w:sz w:val="24"/>
              </w:rPr>
              <w:t>IRC</w:t>
            </w:r>
            <w:r>
              <w:rPr>
                <w:rFonts w:hint="eastAsia" w:ascii="宋体" w:hAnsi="宋体"/>
                <w:color w:val="000000"/>
                <w:sz w:val="24"/>
              </w:rPr>
              <w:t>独立影像学评估数据等；</w:t>
            </w:r>
          </w:p>
        </w:tc>
      </w:tr>
    </w:tbl>
    <w:p w14:paraId="143B6E8F"/>
    <w:sectPr>
      <w:headerReference r:id="rId3" w:type="default"/>
      <w:footerReference r:id="rId4" w:type="default"/>
      <w:pgSz w:w="11906" w:h="16838"/>
      <w:pgMar w:top="1418" w:right="1418" w:bottom="1418" w:left="1418" w:header="992"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DCEBCE">
    <w:pPr>
      <w:pStyle w:val="4"/>
      <w:rPr>
        <w:rFonts w:hint="default" w:eastAsia="宋体"/>
        <w:lang w:val="en-US" w:eastAsia="zh-CN"/>
      </w:rPr>
    </w:pPr>
    <w:r>
      <w:t xml:space="preserve">                                   </w:t>
    </w: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4</w:t>
    </w:r>
    <w:r>
      <w:rPr>
        <w:b/>
        <w:bCs/>
        <w:sz w:val="24"/>
        <w:szCs w:val="24"/>
      </w:rPr>
      <w:fldChar w:fldCharType="end"/>
    </w:r>
    <w:r>
      <w:rPr>
        <w:b/>
        <w:bCs/>
        <w:sz w:val="24"/>
        <w:szCs w:val="24"/>
      </w:rPr>
      <w:t xml:space="preserve">                  </w:t>
    </w:r>
    <w:r>
      <w:rPr>
        <w:b/>
        <w:bCs/>
      </w:rPr>
      <w:t xml:space="preserve">                  </w:t>
    </w:r>
    <w:r>
      <w:rPr>
        <w:rFonts w:hint="eastAsia"/>
        <w:b/>
        <w:bCs/>
        <w:lang w:val="en-US" w:eastAsia="zh-CN"/>
      </w:rPr>
      <w:t>2025.8.11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E62E1D">
    <w:pPr>
      <w:pStyle w:val="5"/>
      <w:jc w:val="left"/>
      <w:rPr>
        <w:rFonts w:hint="eastAsia" w:eastAsia="宋体"/>
        <w:lang w:val="en-US" w:eastAsia="zh-CN"/>
      </w:rPr>
    </w:pPr>
    <w:r>
      <w:rPr>
        <w:rFonts w:hint="eastAsia"/>
        <w:b/>
      </w:rPr>
      <w:t>成都上锦南府医院/四川大学华西医院上锦医院国家药物临床试验机构</w:t>
    </w:r>
    <w:r>
      <w:rPr>
        <w:b/>
      </w:rPr>
      <w:t xml:space="preserve"> </w:t>
    </w:r>
    <w:r>
      <w:rPr>
        <w:rFonts w:hint="eastAsia"/>
        <w:b/>
      </w:rPr>
      <w:t xml:space="preserve">                </w:t>
    </w:r>
    <w:r>
      <w:rPr>
        <w:b/>
      </w:rPr>
      <w:t xml:space="preserve">  </w:t>
    </w:r>
    <w:r>
      <w:rPr>
        <w:rFonts w:hint="eastAsia"/>
        <w:b/>
      </w:rPr>
      <w:t>SJ</w:t>
    </w:r>
    <w:r>
      <w:rPr>
        <w:b/>
      </w:rPr>
      <w:t>H-GCP-REC-</w:t>
    </w:r>
    <w:r>
      <w:rPr>
        <w:rFonts w:hint="eastAsia"/>
        <w:b/>
      </w:rPr>
      <w:t>32-</w:t>
    </w:r>
    <w:r>
      <w:rPr>
        <w:b/>
      </w:rPr>
      <w:t>V</w:t>
    </w:r>
    <w:r>
      <w:rPr>
        <w:rFonts w:hint="eastAsia"/>
        <w:b/>
      </w:rPr>
      <w:t>1</w:t>
    </w:r>
    <w:r>
      <w:rPr>
        <w:b/>
      </w:rPr>
      <w:t>.</w:t>
    </w:r>
    <w:r>
      <w:rPr>
        <w:rFonts w:hint="eastAsia"/>
        <w:b/>
        <w:lang w:val="en-US" w:eastAsia="zh-CN"/>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4MDM0NzZjZmEwODI0MTU3ZTIyOTI5N2NmNDdlYTcifQ=="/>
  </w:docVars>
  <w:rsids>
    <w:rsidRoot w:val="003B0298"/>
    <w:rsid w:val="00005578"/>
    <w:rsid w:val="000062DC"/>
    <w:rsid w:val="00017C79"/>
    <w:rsid w:val="000268E8"/>
    <w:rsid w:val="00037F96"/>
    <w:rsid w:val="00042894"/>
    <w:rsid w:val="000436E6"/>
    <w:rsid w:val="00074DB3"/>
    <w:rsid w:val="00094641"/>
    <w:rsid w:val="00096BAF"/>
    <w:rsid w:val="000971D7"/>
    <w:rsid w:val="000A2333"/>
    <w:rsid w:val="000B0FF3"/>
    <w:rsid w:val="000B5AF9"/>
    <w:rsid w:val="000B6358"/>
    <w:rsid w:val="000D0224"/>
    <w:rsid w:val="00157D6F"/>
    <w:rsid w:val="00184E09"/>
    <w:rsid w:val="001C6FC7"/>
    <w:rsid w:val="001E08A7"/>
    <w:rsid w:val="001E4257"/>
    <w:rsid w:val="00206F66"/>
    <w:rsid w:val="00207F1B"/>
    <w:rsid w:val="00225AA6"/>
    <w:rsid w:val="00227D60"/>
    <w:rsid w:val="002408A6"/>
    <w:rsid w:val="00245BC9"/>
    <w:rsid w:val="00286477"/>
    <w:rsid w:val="00294661"/>
    <w:rsid w:val="00296E4C"/>
    <w:rsid w:val="00297100"/>
    <w:rsid w:val="002A2EBE"/>
    <w:rsid w:val="002E0570"/>
    <w:rsid w:val="00302F8F"/>
    <w:rsid w:val="003362BF"/>
    <w:rsid w:val="00375523"/>
    <w:rsid w:val="003901C7"/>
    <w:rsid w:val="003904FF"/>
    <w:rsid w:val="00395020"/>
    <w:rsid w:val="003B0298"/>
    <w:rsid w:val="003C0FCA"/>
    <w:rsid w:val="003E4677"/>
    <w:rsid w:val="0043043B"/>
    <w:rsid w:val="0044697C"/>
    <w:rsid w:val="00460DDF"/>
    <w:rsid w:val="004644D9"/>
    <w:rsid w:val="00465212"/>
    <w:rsid w:val="00475B7F"/>
    <w:rsid w:val="004D2465"/>
    <w:rsid w:val="004D32E7"/>
    <w:rsid w:val="004E6A64"/>
    <w:rsid w:val="004E7E14"/>
    <w:rsid w:val="004F592B"/>
    <w:rsid w:val="0056543A"/>
    <w:rsid w:val="005858AB"/>
    <w:rsid w:val="005B6562"/>
    <w:rsid w:val="005C30C0"/>
    <w:rsid w:val="005F7B7B"/>
    <w:rsid w:val="00602B56"/>
    <w:rsid w:val="00646EAC"/>
    <w:rsid w:val="006505F2"/>
    <w:rsid w:val="00663114"/>
    <w:rsid w:val="006F4089"/>
    <w:rsid w:val="006F5FB1"/>
    <w:rsid w:val="007073D3"/>
    <w:rsid w:val="00746F3D"/>
    <w:rsid w:val="007C3550"/>
    <w:rsid w:val="007D7EF8"/>
    <w:rsid w:val="00804DF2"/>
    <w:rsid w:val="00810C1C"/>
    <w:rsid w:val="008740C3"/>
    <w:rsid w:val="00874EF3"/>
    <w:rsid w:val="008A21E7"/>
    <w:rsid w:val="008B49AC"/>
    <w:rsid w:val="008C2306"/>
    <w:rsid w:val="008F3025"/>
    <w:rsid w:val="009124BC"/>
    <w:rsid w:val="00955AB5"/>
    <w:rsid w:val="00962A12"/>
    <w:rsid w:val="009C2CF6"/>
    <w:rsid w:val="00A0185B"/>
    <w:rsid w:val="00A51B72"/>
    <w:rsid w:val="00A823D6"/>
    <w:rsid w:val="00A8283D"/>
    <w:rsid w:val="00AA1C4F"/>
    <w:rsid w:val="00AA3C7B"/>
    <w:rsid w:val="00AA708C"/>
    <w:rsid w:val="00AE657A"/>
    <w:rsid w:val="00B067CC"/>
    <w:rsid w:val="00B3471D"/>
    <w:rsid w:val="00B52812"/>
    <w:rsid w:val="00B754DD"/>
    <w:rsid w:val="00B8245C"/>
    <w:rsid w:val="00B86F48"/>
    <w:rsid w:val="00BA76C1"/>
    <w:rsid w:val="00BB11D2"/>
    <w:rsid w:val="00BC07D4"/>
    <w:rsid w:val="00BD1541"/>
    <w:rsid w:val="00BD5D5C"/>
    <w:rsid w:val="00BD765F"/>
    <w:rsid w:val="00BE7582"/>
    <w:rsid w:val="00BF2BBF"/>
    <w:rsid w:val="00BF3731"/>
    <w:rsid w:val="00C0000A"/>
    <w:rsid w:val="00C115FD"/>
    <w:rsid w:val="00C61669"/>
    <w:rsid w:val="00C7325F"/>
    <w:rsid w:val="00C83F31"/>
    <w:rsid w:val="00C96602"/>
    <w:rsid w:val="00CC0A44"/>
    <w:rsid w:val="00CC24F2"/>
    <w:rsid w:val="00D14A00"/>
    <w:rsid w:val="00D20E41"/>
    <w:rsid w:val="00D2272C"/>
    <w:rsid w:val="00D314C5"/>
    <w:rsid w:val="00D747FD"/>
    <w:rsid w:val="00D777EF"/>
    <w:rsid w:val="00D87F78"/>
    <w:rsid w:val="00D974C9"/>
    <w:rsid w:val="00DA3F60"/>
    <w:rsid w:val="00DA7567"/>
    <w:rsid w:val="00DC20BF"/>
    <w:rsid w:val="00DE0A42"/>
    <w:rsid w:val="00DE5E16"/>
    <w:rsid w:val="00DF680F"/>
    <w:rsid w:val="00DF6BC7"/>
    <w:rsid w:val="00E17E8C"/>
    <w:rsid w:val="00E47B38"/>
    <w:rsid w:val="00E66C25"/>
    <w:rsid w:val="00EC29DF"/>
    <w:rsid w:val="00EF454B"/>
    <w:rsid w:val="00EF6882"/>
    <w:rsid w:val="00F35AD5"/>
    <w:rsid w:val="00F402E1"/>
    <w:rsid w:val="00F76BE9"/>
    <w:rsid w:val="00FA1D21"/>
    <w:rsid w:val="00FA64B3"/>
    <w:rsid w:val="01B62ECA"/>
    <w:rsid w:val="077149CC"/>
    <w:rsid w:val="424541A6"/>
    <w:rsid w:val="4ADA1075"/>
    <w:rsid w:val="683706DE"/>
    <w:rsid w:val="6A290F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semiHidden/>
    <w:unhideWhenUsed/>
    <w:qFormat/>
    <w:uiPriority w:val="99"/>
    <w:pPr>
      <w:jc w:val="left"/>
    </w:pPr>
  </w:style>
  <w:style w:type="paragraph" w:styleId="3">
    <w:name w:val="Balloon Text"/>
    <w:basedOn w:val="1"/>
    <w:link w:val="14"/>
    <w:semiHidden/>
    <w:unhideWhenUsed/>
    <w:qFormat/>
    <w:uiPriority w:val="99"/>
    <w:rPr>
      <w:sz w:val="18"/>
      <w:szCs w:val="18"/>
    </w:rPr>
  </w:style>
  <w:style w:type="paragraph" w:styleId="4">
    <w:name w:val="footer"/>
    <w:basedOn w:val="1"/>
    <w:link w:val="13"/>
    <w:unhideWhenUsed/>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6"/>
    <w:semiHidden/>
    <w:unhideWhenUsed/>
    <w:qFormat/>
    <w:uiPriority w:val="99"/>
    <w:rPr>
      <w:b/>
      <w:bCs/>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annotation reference"/>
    <w:basedOn w:val="9"/>
    <w:semiHidden/>
    <w:unhideWhenUsed/>
    <w:qFormat/>
    <w:uiPriority w:val="99"/>
    <w:rPr>
      <w:sz w:val="21"/>
      <w:szCs w:val="21"/>
    </w:rPr>
  </w:style>
  <w:style w:type="paragraph" w:styleId="11">
    <w:name w:val="List Paragraph"/>
    <w:basedOn w:val="1"/>
    <w:qFormat/>
    <w:uiPriority w:val="34"/>
    <w:pPr>
      <w:ind w:firstLine="420" w:firstLineChars="200"/>
    </w:pPr>
    <w:rPr>
      <w:rFonts w:ascii="等线" w:hAnsi="等线" w:eastAsia="等线"/>
      <w:szCs w:val="22"/>
    </w:rPr>
  </w:style>
  <w:style w:type="character" w:customStyle="1" w:styleId="12">
    <w:name w:val="页眉 Char"/>
    <w:basedOn w:val="9"/>
    <w:link w:val="5"/>
    <w:qFormat/>
    <w:uiPriority w:val="99"/>
    <w:rPr>
      <w:rFonts w:ascii="Times New Roman" w:hAnsi="Times New Roman" w:eastAsia="宋体" w:cs="Times New Roman"/>
      <w:sz w:val="18"/>
      <w:szCs w:val="18"/>
    </w:rPr>
  </w:style>
  <w:style w:type="character" w:customStyle="1" w:styleId="13">
    <w:name w:val="页脚 Char"/>
    <w:basedOn w:val="9"/>
    <w:link w:val="4"/>
    <w:qFormat/>
    <w:uiPriority w:val="99"/>
    <w:rPr>
      <w:rFonts w:ascii="Times New Roman" w:hAnsi="Times New Roman" w:eastAsia="宋体" w:cs="Times New Roman"/>
      <w:sz w:val="18"/>
      <w:szCs w:val="18"/>
    </w:rPr>
  </w:style>
  <w:style w:type="character" w:customStyle="1" w:styleId="14">
    <w:name w:val="批注框文本 Char"/>
    <w:basedOn w:val="9"/>
    <w:link w:val="3"/>
    <w:semiHidden/>
    <w:uiPriority w:val="99"/>
    <w:rPr>
      <w:rFonts w:ascii="Times New Roman" w:hAnsi="Times New Roman" w:eastAsia="宋体" w:cs="Times New Roman"/>
      <w:sz w:val="18"/>
      <w:szCs w:val="18"/>
    </w:rPr>
  </w:style>
  <w:style w:type="character" w:customStyle="1" w:styleId="15">
    <w:name w:val="批注文字 Char"/>
    <w:basedOn w:val="9"/>
    <w:link w:val="2"/>
    <w:semiHidden/>
    <w:qFormat/>
    <w:uiPriority w:val="99"/>
    <w:rPr>
      <w:rFonts w:ascii="Times New Roman" w:hAnsi="Times New Roman" w:eastAsia="宋体" w:cs="Times New Roman"/>
      <w:szCs w:val="24"/>
    </w:rPr>
  </w:style>
  <w:style w:type="character" w:customStyle="1" w:styleId="16">
    <w:name w:val="批注主题 Char"/>
    <w:basedOn w:val="15"/>
    <w:link w:val="6"/>
    <w:semiHidden/>
    <w:qFormat/>
    <w:uiPriority w:val="99"/>
    <w:rPr>
      <w:rFonts w:ascii="Times New Roman" w:hAnsi="Times New Roman" w:eastAsia="宋体" w:cs="Times New Roman"/>
      <w:b/>
      <w:bCs/>
      <w:szCs w:val="24"/>
    </w:rPr>
  </w:style>
  <w:style w:type="paragraph" w:customStyle="1" w:styleId="17">
    <w:name w:val="修订1"/>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53C605-D92B-4C70-AB26-F5019F0B77C9}">
  <ds:schemaRefs/>
</ds:datastoreItem>
</file>

<file path=docProps/app.xml><?xml version="1.0" encoding="utf-8"?>
<Properties xmlns="http://schemas.openxmlformats.org/officeDocument/2006/extended-properties" xmlns:vt="http://schemas.openxmlformats.org/officeDocument/2006/docPropsVTypes">
  <Template>Normal.dotm</Template>
  <Pages>4</Pages>
  <Words>2995</Words>
  <Characters>3268</Characters>
  <Lines>24</Lines>
  <Paragraphs>6</Paragraphs>
  <TotalTime>0</TotalTime>
  <ScaleCrop>false</ScaleCrop>
  <LinksUpToDate>false</LinksUpToDate>
  <CharactersWithSpaces>3278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2023-02-06T08:29:00Z</dcterms:created>
  <dc:creator>Huan Chen</dc:creator>
  <cp:lastModifiedBy>默言</cp:lastModifiedBy>
  <cp:lastPrinted>2023-07-13T05:42:00Z</cp:lastPrinted>
  <dcterms:modified xsi:type="dcterms:W3CDTF">2025-08-11T08:15:31Z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F58060286EBD42EC9C0833ABF873EF01</vt:lpwstr>
  </property>
  <property fmtid="{D5CDD505-2E9C-101B-9397-08002B2CF9AE}" pid="4" name="KSOTemplateDocerSaveRecord">
    <vt:lpwstr>eyJoZGlkIjoiZDE4MDM0NzZjZmEwODI0MTU3ZTIyOTI5N2NmNDdlYTciLCJ1c2VySWQiOiIyNjcxNjI4MzgifQ==</vt:lpwstr>
  </property>
</Properties>
</file>